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形式主义、官僚主义等“四风”问题查摆整改台账</w:t>
      </w:r>
    </w:p>
    <w:bookmarkEnd w:id="0"/>
    <w:tbl>
      <w:tblPr>
        <w:tblStyle w:val="3"/>
        <w:tblpPr w:leftFromText="180" w:rightFromText="180" w:vertAnchor="text" w:horzAnchor="page" w:tblpX="976" w:tblpY="588"/>
        <w:tblOverlap w:val="never"/>
        <w:tblW w:w="14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095"/>
        <w:gridCol w:w="2069"/>
        <w:gridCol w:w="2832"/>
        <w:gridCol w:w="2631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形式主义、官僚主义等“四风”问题表现形式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负责部门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问题内容描述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整改措施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90" w:lineRule="exact"/>
              <w:jc w:val="center"/>
              <w:rPr>
                <w:rFonts w:hint="eastAsia" w:ascii="仿宋_GB2312" w:hAnsi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</w:rPr>
              <w:t>责任人及整改时限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规矩意识淡薄、服务意识缺乏、工作简单粗放、执行力不强以及不作为、乱作为等问题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各部门、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各党总支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作风简单粗暴漠视侵害师生利益情况，尤其是学生资助、教科研、招生就业、学生评奖评优和干部选拔等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</w:rPr>
              <w:t>学生工作处、教务处、科研处、招生就业处、各系部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0" w:type="dxa"/>
            <w:gridSpan w:val="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590" w:lineRule="exact"/>
              <w:ind w:firstLine="640" w:firstLineChars="20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部门、党总支（公章）：                    主要负责人签字：             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76F06280"/>
    <w:rsid w:val="76F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2023-02-20T03:16:00Z</dcterms:created>
  <dc:creator>Administrator</dc:creator>
  <cp:lastModifiedBy>Administrator</cp:lastModifiedBy>
  <dcterms:modified xsi:type="dcterms:W3CDTF">2023-02-20T03:16:27Z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BBCFF44D32A941ADAC6018C370F68559</vt:lpwstr>
  </property>
</Properties>
</file>