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1" w:firstLineChars="200"/>
        <w:jc w:val="center"/>
        <w:rPr>
          <w:rFonts w:ascii="华文中宋" w:hAnsi="华文中宋" w:eastAsia="华文中宋"/>
          <w:b/>
          <w:sz w:val="44"/>
          <w:szCs w:val="24"/>
        </w:rPr>
      </w:pPr>
      <w:r>
        <w:rPr>
          <w:rFonts w:hint="eastAsia" w:ascii="华文中宋" w:hAnsi="华文中宋" w:eastAsia="华文中宋"/>
          <w:b/>
          <w:sz w:val="44"/>
          <w:szCs w:val="24"/>
        </w:rPr>
        <w:t>2021级旅游英语专业人才培养方案</w:t>
      </w:r>
    </w:p>
    <w:p>
      <w:pPr>
        <w:overflowPunct w:val="0"/>
        <w:spacing w:line="360" w:lineRule="auto"/>
        <w:ind w:firstLine="640" w:firstLineChars="200"/>
        <w:rPr>
          <w:szCs w:val="32"/>
        </w:rPr>
      </w:pPr>
    </w:p>
    <w:p>
      <w:pPr>
        <w:overflowPunct w:val="0"/>
        <w:adjustRightInd w:val="0"/>
        <w:spacing w:line="360" w:lineRule="auto"/>
        <w:ind w:firstLine="640" w:firstLineChars="200"/>
        <w:outlineLvl w:val="0"/>
        <w:rPr>
          <w:rFonts w:eastAsia="黑体"/>
          <w:szCs w:val="32"/>
        </w:rPr>
      </w:pPr>
      <w:r>
        <w:rPr>
          <w:rFonts w:eastAsia="黑体"/>
          <w:szCs w:val="32"/>
        </w:rPr>
        <w:t>一、专业名称及代码</w:t>
      </w:r>
    </w:p>
    <w:p>
      <w:pPr>
        <w:spacing w:line="360" w:lineRule="auto"/>
        <w:ind w:firstLine="420" w:firstLineChars="200"/>
        <w:rPr>
          <w:rFonts w:eastAsia="宋体"/>
          <w:sz w:val="21"/>
          <w:szCs w:val="21"/>
        </w:rPr>
      </w:pPr>
      <w:r>
        <w:rPr>
          <w:rFonts w:hint="eastAsia" w:eastAsia="宋体"/>
          <w:sz w:val="21"/>
          <w:szCs w:val="21"/>
        </w:rPr>
        <w:t>专业名称：旅游英语</w:t>
      </w:r>
    </w:p>
    <w:p>
      <w:pPr>
        <w:spacing w:line="360" w:lineRule="auto"/>
        <w:ind w:firstLine="420" w:firstLineChars="200"/>
        <w:rPr>
          <w:rFonts w:eastAsia="宋体"/>
          <w:sz w:val="21"/>
          <w:szCs w:val="21"/>
        </w:rPr>
      </w:pPr>
      <w:r>
        <w:rPr>
          <w:rFonts w:hint="eastAsia" w:eastAsia="宋体"/>
          <w:sz w:val="21"/>
          <w:szCs w:val="21"/>
        </w:rPr>
        <w:t>专业代码：570203</w:t>
      </w:r>
    </w:p>
    <w:p>
      <w:pPr>
        <w:overflowPunct w:val="0"/>
        <w:adjustRightInd w:val="0"/>
        <w:spacing w:line="360" w:lineRule="auto"/>
        <w:ind w:firstLine="640" w:firstLineChars="200"/>
        <w:outlineLvl w:val="0"/>
        <w:rPr>
          <w:rFonts w:eastAsia="黑体"/>
          <w:szCs w:val="32"/>
        </w:rPr>
      </w:pPr>
      <w:r>
        <w:rPr>
          <w:rFonts w:eastAsia="黑体"/>
          <w:szCs w:val="32"/>
        </w:rPr>
        <w:t>二、入学要求</w:t>
      </w:r>
    </w:p>
    <w:p>
      <w:pPr>
        <w:overflowPunct w:val="0"/>
        <w:adjustRightInd w:val="0"/>
        <w:spacing w:line="360" w:lineRule="auto"/>
        <w:ind w:firstLine="480" w:firstLineChars="200"/>
        <w:rPr>
          <w:rFonts w:eastAsia="方正仿宋简体"/>
        </w:rPr>
      </w:pPr>
      <w:r>
        <w:rPr>
          <w:rFonts w:hint="eastAsia" w:ascii="仿宋" w:hAnsi="仿宋" w:eastAsia="仿宋"/>
          <w:sz w:val="24"/>
          <w:szCs w:val="24"/>
        </w:rPr>
        <w:t>普通高中毕业生</w:t>
      </w:r>
    </w:p>
    <w:p>
      <w:pPr>
        <w:overflowPunct w:val="0"/>
        <w:adjustRightInd w:val="0"/>
        <w:spacing w:line="360" w:lineRule="auto"/>
        <w:ind w:firstLine="640" w:firstLineChars="200"/>
        <w:outlineLvl w:val="0"/>
        <w:rPr>
          <w:rFonts w:eastAsia="黑体"/>
          <w:szCs w:val="32"/>
        </w:rPr>
      </w:pPr>
      <w:r>
        <w:rPr>
          <w:rFonts w:eastAsia="黑体"/>
          <w:szCs w:val="32"/>
        </w:rPr>
        <w:t>三、修业年限</w:t>
      </w:r>
    </w:p>
    <w:p>
      <w:pPr>
        <w:overflowPunct w:val="0"/>
        <w:adjustRightInd w:val="0"/>
        <w:spacing w:line="360" w:lineRule="auto"/>
        <w:ind w:firstLine="480" w:firstLineChars="200"/>
        <w:rPr>
          <w:rFonts w:eastAsia="方正仿宋简体"/>
        </w:rPr>
      </w:pPr>
      <w:r>
        <w:rPr>
          <w:rFonts w:hint="eastAsia" w:ascii="仿宋" w:hAnsi="仿宋" w:eastAsia="仿宋"/>
          <w:sz w:val="24"/>
          <w:szCs w:val="24"/>
        </w:rPr>
        <w:t>全日制</w:t>
      </w:r>
      <w:r>
        <w:rPr>
          <w:rFonts w:ascii="仿宋" w:hAnsi="仿宋" w:eastAsia="仿宋"/>
          <w:sz w:val="24"/>
          <w:szCs w:val="24"/>
        </w:rPr>
        <w:t>3</w:t>
      </w:r>
      <w:r>
        <w:rPr>
          <w:rFonts w:hint="eastAsia" w:ascii="仿宋" w:hAnsi="仿宋" w:eastAsia="仿宋"/>
          <w:sz w:val="24"/>
          <w:szCs w:val="24"/>
        </w:rPr>
        <w:t>年</w:t>
      </w:r>
    </w:p>
    <w:p>
      <w:pPr>
        <w:overflowPunct w:val="0"/>
        <w:adjustRightInd w:val="0"/>
        <w:spacing w:line="360" w:lineRule="auto"/>
        <w:ind w:firstLine="640" w:firstLineChars="200"/>
        <w:outlineLvl w:val="0"/>
        <w:rPr>
          <w:rFonts w:eastAsia="黑体"/>
          <w:szCs w:val="32"/>
        </w:rPr>
      </w:pPr>
      <w:r>
        <w:rPr>
          <w:rFonts w:eastAsia="黑体"/>
          <w:szCs w:val="32"/>
        </w:rPr>
        <w:t>四、职业面向</w:t>
      </w:r>
    </w:p>
    <w:p>
      <w:pPr>
        <w:overflowPunct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面向商务服务人员、旅游及公共游览场所服务人员、酒店服务人员等职业，商务旅游翻译、涉外酒店服务、出入境业务服务及初中级管理等岗位群。</w:t>
      </w:r>
    </w:p>
    <w:p>
      <w:pPr>
        <w:spacing w:line="360" w:lineRule="auto"/>
        <w:ind w:firstLine="480" w:firstLineChars="200"/>
        <w:jc w:val="center"/>
        <w:rPr>
          <w:rFonts w:ascii="仿宋" w:hAnsi="仿宋" w:eastAsia="仿宋"/>
          <w:sz w:val="24"/>
          <w:szCs w:val="24"/>
        </w:rPr>
      </w:pPr>
      <w:r>
        <w:rPr>
          <w:rFonts w:hint="eastAsia" w:ascii="仿宋" w:hAnsi="仿宋" w:eastAsia="仿宋"/>
          <w:sz w:val="24"/>
          <w:szCs w:val="24"/>
        </w:rPr>
        <w:t>表</w:t>
      </w:r>
      <w:r>
        <w:rPr>
          <w:rFonts w:ascii="仿宋" w:hAnsi="仿宋" w:eastAsia="仿宋"/>
          <w:sz w:val="24"/>
          <w:szCs w:val="24"/>
        </w:rPr>
        <w:t>1</w:t>
      </w:r>
      <w:r>
        <w:rPr>
          <w:rFonts w:hint="eastAsia" w:ascii="仿宋" w:hAnsi="仿宋" w:eastAsia="仿宋"/>
          <w:sz w:val="24"/>
          <w:szCs w:val="24"/>
        </w:rPr>
        <w:t>主要就业岗位分析表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134"/>
        <w:gridCol w:w="1276"/>
        <w:gridCol w:w="269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1101"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b/>
                <w:bCs/>
                <w:sz w:val="21"/>
                <w:szCs w:val="21"/>
              </w:rPr>
            </w:pPr>
            <w:r>
              <w:rPr>
                <w:rFonts w:hint="eastAsia" w:ascii="仿宋" w:hAnsi="仿宋" w:eastAsia="仿宋"/>
                <w:b/>
                <w:bCs/>
                <w:sz w:val="21"/>
                <w:szCs w:val="21"/>
              </w:rPr>
              <w:t>专业大类</w:t>
            </w:r>
          </w:p>
        </w:tc>
        <w:tc>
          <w:tcPr>
            <w:tcW w:w="850"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b/>
                <w:bCs/>
                <w:sz w:val="21"/>
                <w:szCs w:val="21"/>
              </w:rPr>
            </w:pPr>
            <w:r>
              <w:rPr>
                <w:rFonts w:hint="eastAsia" w:ascii="仿宋" w:hAnsi="仿宋" w:eastAsia="仿宋"/>
                <w:b/>
                <w:bCs/>
                <w:sz w:val="21"/>
                <w:szCs w:val="21"/>
              </w:rPr>
              <w:t>专业类</w:t>
            </w:r>
          </w:p>
        </w:tc>
        <w:tc>
          <w:tcPr>
            <w:tcW w:w="1134"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b/>
                <w:bCs/>
                <w:sz w:val="21"/>
                <w:szCs w:val="21"/>
              </w:rPr>
            </w:pPr>
            <w:r>
              <w:rPr>
                <w:rFonts w:hint="eastAsia" w:ascii="仿宋" w:hAnsi="仿宋" w:eastAsia="仿宋"/>
                <w:b/>
                <w:bCs/>
                <w:sz w:val="21"/>
                <w:szCs w:val="21"/>
              </w:rPr>
              <w:t>专业</w:t>
            </w:r>
          </w:p>
        </w:tc>
        <w:tc>
          <w:tcPr>
            <w:tcW w:w="1276"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b/>
                <w:bCs/>
                <w:sz w:val="21"/>
                <w:szCs w:val="21"/>
              </w:rPr>
            </w:pPr>
            <w:r>
              <w:rPr>
                <w:rFonts w:hint="eastAsia" w:ascii="仿宋" w:hAnsi="仿宋" w:eastAsia="仿宋"/>
                <w:b/>
                <w:bCs/>
                <w:sz w:val="21"/>
                <w:szCs w:val="21"/>
              </w:rPr>
              <w:t>就业领域</w:t>
            </w:r>
          </w:p>
        </w:tc>
        <w:tc>
          <w:tcPr>
            <w:tcW w:w="2693"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b/>
                <w:bCs/>
                <w:sz w:val="21"/>
                <w:szCs w:val="21"/>
              </w:rPr>
            </w:pPr>
            <w:r>
              <w:rPr>
                <w:rFonts w:hint="eastAsia" w:ascii="仿宋" w:hAnsi="仿宋" w:eastAsia="仿宋"/>
                <w:b/>
                <w:bCs/>
                <w:sz w:val="21"/>
                <w:szCs w:val="21"/>
              </w:rPr>
              <w:t>初始岗位</w:t>
            </w:r>
          </w:p>
        </w:tc>
        <w:tc>
          <w:tcPr>
            <w:tcW w:w="1468"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b/>
                <w:bCs/>
                <w:sz w:val="21"/>
                <w:szCs w:val="21"/>
              </w:rPr>
            </w:pPr>
            <w:r>
              <w:rPr>
                <w:rFonts w:hint="eastAsia" w:ascii="仿宋" w:hAnsi="仿宋" w:eastAsia="仿宋"/>
                <w:b/>
                <w:bCs/>
                <w:sz w:val="21"/>
                <w:szCs w:val="21"/>
              </w:rPr>
              <w:t>发展岗位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exact"/>
          <w:jc w:val="center"/>
        </w:trPr>
        <w:tc>
          <w:tcPr>
            <w:tcW w:w="1101" w:type="dxa"/>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7</w:t>
            </w:r>
          </w:p>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教育与体育大类</w:t>
            </w:r>
          </w:p>
        </w:tc>
        <w:tc>
          <w:tcPr>
            <w:tcW w:w="850" w:type="dxa"/>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ascii="仿宋" w:hAnsi="仿宋" w:eastAsia="仿宋"/>
                <w:sz w:val="21"/>
                <w:szCs w:val="21"/>
              </w:rPr>
              <w:t>5702</w:t>
            </w:r>
          </w:p>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语言类</w:t>
            </w:r>
          </w:p>
        </w:tc>
        <w:tc>
          <w:tcPr>
            <w:tcW w:w="1134" w:type="dxa"/>
          </w:tcPr>
          <w:p>
            <w:pPr>
              <w:keepNext w:val="0"/>
              <w:keepLines w:val="0"/>
              <w:suppressLineNumbers w:val="0"/>
              <w:spacing w:before="0" w:beforeAutospacing="0" w:after="0" w:afterAutospacing="0" w:line="360" w:lineRule="auto"/>
              <w:ind w:left="0" w:right="0"/>
              <w:jc w:val="left"/>
              <w:rPr>
                <w:rFonts w:ascii="仿宋" w:hAnsi="仿宋" w:eastAsia="仿宋" w:cs="仿宋"/>
                <w:sz w:val="21"/>
                <w:szCs w:val="21"/>
              </w:rPr>
            </w:pPr>
            <w:r>
              <w:rPr>
                <w:rFonts w:hint="eastAsia" w:ascii="仿宋" w:hAnsi="仿宋" w:eastAsia="仿宋" w:cs="仿宋"/>
                <w:sz w:val="21"/>
                <w:szCs w:val="21"/>
              </w:rPr>
              <w:t>5</w:t>
            </w:r>
            <w:r>
              <w:rPr>
                <w:rFonts w:ascii="仿宋" w:hAnsi="仿宋" w:eastAsia="仿宋" w:cs="仿宋"/>
                <w:sz w:val="21"/>
                <w:szCs w:val="21"/>
              </w:rPr>
              <w:t>70203</w:t>
            </w:r>
          </w:p>
          <w:p>
            <w:pPr>
              <w:keepNext w:val="0"/>
              <w:keepLines w:val="0"/>
              <w:suppressLineNumbers w:val="0"/>
              <w:spacing w:before="0" w:beforeAutospacing="0" w:after="0" w:afterAutospacing="0" w:line="360" w:lineRule="auto"/>
              <w:ind w:left="0" w:right="0"/>
              <w:jc w:val="left"/>
              <w:rPr>
                <w:rFonts w:ascii="仿宋" w:hAnsi="仿宋" w:eastAsia="仿宋" w:cs="仿宋"/>
                <w:sz w:val="21"/>
                <w:szCs w:val="21"/>
              </w:rPr>
            </w:pPr>
            <w:r>
              <w:rPr>
                <w:rFonts w:hint="eastAsia" w:ascii="仿宋" w:hAnsi="仿宋" w:eastAsia="仿宋" w:cs="仿宋"/>
                <w:sz w:val="21"/>
                <w:szCs w:val="21"/>
              </w:rPr>
              <w:t>旅游英语</w:t>
            </w:r>
          </w:p>
        </w:tc>
        <w:tc>
          <w:tcPr>
            <w:tcW w:w="1276" w:type="dxa"/>
          </w:tcPr>
          <w:p>
            <w:pPr>
              <w:keepNext w:val="0"/>
              <w:keepLines w:val="0"/>
              <w:suppressLineNumbers w:val="0"/>
              <w:spacing w:before="0" w:beforeAutospacing="0" w:after="0" w:afterAutospacing="0" w:line="360" w:lineRule="auto"/>
              <w:ind w:left="0" w:right="0"/>
              <w:rPr>
                <w:rFonts w:ascii="仿宋" w:hAnsi="仿宋" w:eastAsia="仿宋" w:cs="仿宋"/>
                <w:sz w:val="21"/>
                <w:szCs w:val="21"/>
              </w:rPr>
            </w:pPr>
            <w:r>
              <w:rPr>
                <w:rFonts w:hint="eastAsia" w:ascii="仿宋" w:hAnsi="仿宋" w:eastAsia="仿宋" w:cs="仿宋"/>
                <w:sz w:val="21"/>
                <w:szCs w:val="21"/>
              </w:rPr>
              <w:t>商务、涉外酒店、旅游</w:t>
            </w:r>
          </w:p>
        </w:tc>
        <w:tc>
          <w:tcPr>
            <w:tcW w:w="2693" w:type="dxa"/>
          </w:tcPr>
          <w:p>
            <w:pPr>
              <w:keepNext w:val="0"/>
              <w:keepLines w:val="0"/>
              <w:suppressLineNumbers w:val="0"/>
              <w:spacing w:before="0" w:beforeAutospacing="0" w:after="0" w:afterAutospacing="0" w:line="360" w:lineRule="auto"/>
              <w:ind w:left="0" w:right="0"/>
              <w:rPr>
                <w:rFonts w:ascii="仿宋" w:hAnsi="仿宋" w:eastAsia="仿宋"/>
                <w:sz w:val="21"/>
                <w:szCs w:val="21"/>
              </w:rPr>
            </w:pPr>
            <w:r>
              <w:rPr>
                <w:rFonts w:hint="eastAsia" w:ascii="仿宋" w:hAnsi="仿宋" w:eastAsia="仿宋"/>
                <w:sz w:val="21"/>
                <w:szCs w:val="21"/>
              </w:rPr>
              <w:t>商务旅游翻译、酒店服务人员、</w:t>
            </w:r>
            <w:r>
              <w:rPr>
                <w:rFonts w:hint="eastAsia" w:ascii="仿宋" w:hAnsi="仿宋" w:eastAsia="仿宋" w:cs="仿宋"/>
                <w:sz w:val="21"/>
                <w:szCs w:val="21"/>
              </w:rPr>
              <w:t>中英文导游、出境领队、旅游产品设计与营销、行政内勤等</w:t>
            </w:r>
          </w:p>
        </w:tc>
        <w:tc>
          <w:tcPr>
            <w:tcW w:w="1468" w:type="dxa"/>
          </w:tcPr>
          <w:p>
            <w:pPr>
              <w:keepNext w:val="0"/>
              <w:keepLines w:val="0"/>
              <w:suppressLineNumbers w:val="0"/>
              <w:spacing w:before="0" w:beforeAutospacing="0" w:after="0" w:afterAutospacing="0" w:line="360" w:lineRule="auto"/>
              <w:ind w:left="0" w:right="0"/>
              <w:rPr>
                <w:rFonts w:ascii="仿宋" w:hAnsi="仿宋" w:eastAsia="仿宋"/>
                <w:sz w:val="21"/>
                <w:szCs w:val="21"/>
              </w:rPr>
            </w:pPr>
            <w:r>
              <w:rPr>
                <w:rFonts w:hint="eastAsia" w:ascii="仿宋" w:hAnsi="仿宋" w:eastAsia="仿宋" w:cs="仿宋"/>
                <w:sz w:val="21"/>
                <w:szCs w:val="21"/>
              </w:rPr>
              <w:t>部门主管、经理</w:t>
            </w:r>
            <w:r>
              <w:rPr>
                <w:rFonts w:hint="eastAsia" w:ascii="仿宋" w:hAnsi="仿宋" w:eastAsia="仿宋"/>
                <w:sz w:val="21"/>
                <w:szCs w:val="21"/>
              </w:rPr>
              <w:t>等</w:t>
            </w:r>
          </w:p>
        </w:tc>
      </w:tr>
    </w:tbl>
    <w:p>
      <w:pPr>
        <w:overflowPunct w:val="0"/>
        <w:adjustRightInd w:val="0"/>
        <w:ind w:firstLine="480" w:firstLineChars="200"/>
        <w:rPr>
          <w:rFonts w:ascii="仿宋" w:hAnsi="仿宋" w:eastAsia="仿宋"/>
          <w:sz w:val="24"/>
          <w:szCs w:val="24"/>
        </w:rPr>
      </w:pP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spacing w:line="360" w:lineRule="auto"/>
        <w:ind w:firstLine="480" w:firstLineChars="200"/>
        <w:rPr>
          <w:rFonts w:ascii="仿宋" w:hAnsi="仿宋" w:eastAsia="仿宋"/>
          <w:sz w:val="24"/>
        </w:rPr>
      </w:pPr>
      <w:r>
        <w:rPr>
          <w:rFonts w:hint="eastAsia" w:ascii="仿宋" w:hAnsi="仿宋" w:eastAsia="仿宋"/>
          <w:sz w:val="24"/>
        </w:rPr>
        <w:t>本专业坚持立德树人、德技并修，面向文化旅游新业态下的涉外旅游、国内外高星级酒店及商务领域，培养拥护党的基本路线，德、智、体、美、劳全面发展，掌握本专业所必须的英语、旅游管理、涉外商务及科学文化知识</w:t>
      </w:r>
      <w:r>
        <w:rPr>
          <w:rFonts w:hint="eastAsia" w:ascii="仿宋" w:hAnsi="仿宋" w:eastAsia="仿宋"/>
          <w:sz w:val="24"/>
          <w:lang w:eastAsia="zh-CN"/>
        </w:rPr>
        <w:t>、</w:t>
      </w:r>
      <w:r>
        <w:rPr>
          <w:rFonts w:hint="eastAsia" w:ascii="仿宋" w:hAnsi="仿宋" w:eastAsia="仿宋"/>
          <w:sz w:val="24"/>
          <w:highlight w:val="yellow"/>
          <w:lang w:val="en-US" w:eastAsia="zh-CN"/>
        </w:rPr>
        <w:t>中华传统文化知识</w:t>
      </w:r>
      <w:r>
        <w:rPr>
          <w:rFonts w:hint="eastAsia" w:ascii="仿宋" w:hAnsi="仿宋" w:eastAsia="仿宋"/>
          <w:sz w:val="24"/>
          <w:highlight w:val="yellow"/>
        </w:rPr>
        <w:t>，</w:t>
      </w:r>
      <w:r>
        <w:rPr>
          <w:rFonts w:hint="eastAsia" w:ascii="仿宋" w:hAnsi="仿宋" w:eastAsia="仿宋"/>
          <w:sz w:val="24"/>
        </w:rPr>
        <w:t>具备较高的英语语言交际</w:t>
      </w:r>
      <w:bookmarkStart w:id="3" w:name="_GoBack"/>
      <w:bookmarkEnd w:id="3"/>
      <w:r>
        <w:rPr>
          <w:rFonts w:hint="eastAsia" w:ascii="仿宋" w:hAnsi="仿宋" w:eastAsia="仿宋"/>
          <w:sz w:val="24"/>
        </w:rPr>
        <w:t>能力、较强的旅游服务技能，</w:t>
      </w:r>
      <w:r>
        <w:rPr>
          <w:rFonts w:hint="eastAsia" w:ascii="仿宋" w:hAnsi="仿宋" w:eastAsia="仿宋"/>
          <w:sz w:val="24"/>
          <w:highlight w:val="yellow"/>
        </w:rPr>
        <w:t>具有</w:t>
      </w:r>
      <w:bookmarkStart w:id="0" w:name="_Hlk111322405"/>
      <w:r>
        <w:rPr>
          <w:rFonts w:hint="eastAsia" w:ascii="仿宋" w:hAnsi="仿宋" w:eastAsia="仿宋"/>
          <w:sz w:val="24"/>
          <w:highlight w:val="yellow"/>
        </w:rPr>
        <w:t>国际视野、精益求精的职业精神和信息素养</w:t>
      </w:r>
      <w:bookmarkEnd w:id="0"/>
      <w:r>
        <w:rPr>
          <w:rFonts w:hint="eastAsia" w:ascii="仿宋" w:hAnsi="仿宋" w:eastAsia="仿宋"/>
          <w:sz w:val="24"/>
          <w:highlight w:val="yellow"/>
        </w:rPr>
        <w:t>，</w:t>
      </w:r>
      <w:r>
        <w:rPr>
          <w:rFonts w:hint="eastAsia" w:ascii="仿宋" w:hAnsi="仿宋" w:eastAsia="仿宋"/>
          <w:sz w:val="24"/>
        </w:rPr>
        <w:t>毕业后能够从事出入境服务、旅游咨询与接待、出境领队、中英文导游、酒店服务、涉外商务等初中级管理岗位的高素质技术技能人才。</w:t>
      </w:r>
    </w:p>
    <w:p>
      <w:pPr>
        <w:overflowPunct w:val="0"/>
        <w:adjustRightInd w:val="0"/>
        <w:ind w:firstLine="643" w:firstLineChars="200"/>
        <w:outlineLvl w:val="0"/>
        <w:rPr>
          <w:rFonts w:eastAsia="楷体_GB2312"/>
          <w:b/>
          <w:szCs w:val="32"/>
        </w:rPr>
      </w:pPr>
      <w:r>
        <w:rPr>
          <w:rFonts w:eastAsia="楷体_GB2312"/>
          <w:b/>
          <w:szCs w:val="32"/>
        </w:rPr>
        <w:t>（二）培养规格</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、素质要求</w:t>
      </w:r>
    </w:p>
    <w:p>
      <w:pPr>
        <w:spacing w:line="360" w:lineRule="auto"/>
        <w:ind w:firstLine="480" w:firstLineChars="200"/>
        <w:rPr>
          <w:rFonts w:ascii="仿宋" w:hAnsi="仿宋" w:eastAsia="仿宋"/>
          <w:sz w:val="24"/>
          <w:szCs w:val="24"/>
          <w:highlight w:val="yellow"/>
        </w:rPr>
      </w:pPr>
      <w:r>
        <w:rPr>
          <w:rFonts w:hint="eastAsia" w:ascii="仿宋" w:hAnsi="仿宋" w:eastAsia="仿宋"/>
          <w:sz w:val="24"/>
          <w:szCs w:val="24"/>
          <w:highlight w:val="yellow"/>
        </w:rPr>
        <w:t>（</w:t>
      </w:r>
      <w:r>
        <w:rPr>
          <w:rFonts w:ascii="仿宋" w:hAnsi="仿宋" w:eastAsia="仿宋"/>
          <w:sz w:val="24"/>
          <w:szCs w:val="24"/>
          <w:highlight w:val="yellow"/>
        </w:rPr>
        <w:t>1</w:t>
      </w:r>
      <w:r>
        <w:rPr>
          <w:rFonts w:hint="eastAsia" w:ascii="仿宋" w:hAnsi="仿宋" w:eastAsia="仿宋"/>
          <w:sz w:val="24"/>
          <w:szCs w:val="24"/>
          <w:highlight w:val="yellow"/>
        </w:rPr>
        <w:t>）具有较强的思想道德修养和马列主义理论基础，政治敏锐力较强；</w:t>
      </w:r>
    </w:p>
    <w:p>
      <w:pPr>
        <w:spacing w:line="360" w:lineRule="auto"/>
        <w:ind w:firstLine="480" w:firstLineChars="200"/>
        <w:rPr>
          <w:rFonts w:ascii="仿宋" w:hAnsi="仿宋" w:eastAsia="仿宋"/>
          <w:sz w:val="24"/>
          <w:szCs w:val="24"/>
          <w:highlight w:val="yellow"/>
        </w:rPr>
      </w:pPr>
      <w:r>
        <w:rPr>
          <w:rFonts w:hint="eastAsia" w:ascii="仿宋" w:hAnsi="仿宋" w:eastAsia="仿宋"/>
          <w:sz w:val="24"/>
          <w:szCs w:val="24"/>
          <w:highlight w:val="yellow"/>
        </w:rPr>
        <w:t>（</w:t>
      </w:r>
      <w:r>
        <w:rPr>
          <w:rFonts w:ascii="仿宋" w:hAnsi="仿宋" w:eastAsia="仿宋"/>
          <w:sz w:val="24"/>
          <w:szCs w:val="24"/>
          <w:highlight w:val="yellow"/>
        </w:rPr>
        <w:t>2</w:t>
      </w:r>
      <w:r>
        <w:rPr>
          <w:rFonts w:hint="eastAsia" w:ascii="仿宋" w:hAnsi="仿宋" w:eastAsia="仿宋"/>
          <w:sz w:val="24"/>
          <w:szCs w:val="24"/>
          <w:highlight w:val="yellow"/>
        </w:rPr>
        <w:t>）具有良好的职业道德和职业素养；</w:t>
      </w:r>
    </w:p>
    <w:p>
      <w:pPr>
        <w:spacing w:line="360" w:lineRule="auto"/>
        <w:ind w:firstLine="480" w:firstLineChars="200"/>
        <w:rPr>
          <w:rFonts w:ascii="仿宋" w:hAnsi="仿宋" w:eastAsia="仿宋"/>
          <w:sz w:val="24"/>
          <w:szCs w:val="24"/>
          <w:highlight w:val="yellow"/>
        </w:rPr>
      </w:pPr>
      <w:r>
        <w:rPr>
          <w:rFonts w:hint="eastAsia" w:ascii="仿宋" w:hAnsi="仿宋" w:eastAsia="仿宋"/>
          <w:sz w:val="24"/>
          <w:szCs w:val="24"/>
          <w:highlight w:val="yellow"/>
        </w:rPr>
        <w:t>（</w:t>
      </w:r>
      <w:r>
        <w:rPr>
          <w:rFonts w:ascii="仿宋" w:hAnsi="仿宋" w:eastAsia="仿宋"/>
          <w:sz w:val="24"/>
          <w:szCs w:val="24"/>
          <w:highlight w:val="yellow"/>
        </w:rPr>
        <w:t>3</w:t>
      </w:r>
      <w:r>
        <w:rPr>
          <w:rFonts w:hint="eastAsia" w:ascii="仿宋" w:hAnsi="仿宋" w:eastAsia="仿宋"/>
          <w:sz w:val="24"/>
          <w:szCs w:val="24"/>
          <w:highlight w:val="yellow"/>
        </w:rPr>
        <w:t>）具有家国情怀、人文情怀</w:t>
      </w:r>
      <w:r>
        <w:rPr>
          <w:rFonts w:hint="eastAsia" w:ascii="仿宋" w:hAnsi="仿宋" w:eastAsia="仿宋"/>
          <w:sz w:val="24"/>
          <w:szCs w:val="24"/>
          <w:highlight w:val="yellow"/>
          <w:lang w:val="en-US" w:eastAsia="zh-CN"/>
        </w:rPr>
        <w:t>和民族自豪感</w:t>
      </w:r>
      <w:r>
        <w:rPr>
          <w:rFonts w:hint="eastAsia" w:ascii="仿宋" w:hAnsi="仿宋" w:eastAsia="仿宋"/>
          <w:sz w:val="24"/>
          <w:szCs w:val="24"/>
          <w:highlight w:val="yellow"/>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highlight w:val="yellow"/>
        </w:rPr>
        <w:t>（</w:t>
      </w:r>
      <w:r>
        <w:rPr>
          <w:rFonts w:ascii="仿宋" w:hAnsi="仿宋" w:eastAsia="仿宋"/>
          <w:sz w:val="24"/>
          <w:szCs w:val="24"/>
          <w:highlight w:val="yellow"/>
        </w:rPr>
        <w:t>4</w:t>
      </w:r>
      <w:r>
        <w:rPr>
          <w:rFonts w:hint="eastAsia" w:ascii="仿宋" w:hAnsi="仿宋" w:eastAsia="仿宋"/>
          <w:sz w:val="24"/>
          <w:szCs w:val="24"/>
          <w:highlight w:val="yellow"/>
        </w:rPr>
        <w:t>）崇德向善、诚实守信、爱岗敬业，具有精益求精的工匠精神；</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）具有较强的心理素质，勇于克服困难；</w:t>
      </w:r>
      <w:r>
        <w:rPr>
          <w:rFonts w:ascii="仿宋" w:hAnsi="仿宋" w:eastAsia="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）具有探究学习、终身学习和可持续发展的能力；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）具有良好的表达沟通能力、团队协作能力、创新能力和创业能力；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2、知识要求</w:t>
      </w:r>
    </w:p>
    <w:p>
      <w:pPr>
        <w:adjustRightInd w:val="0"/>
        <w:snapToGrid w:val="0"/>
        <w:spacing w:line="360" w:lineRule="auto"/>
        <w:ind w:left="420"/>
        <w:rPr>
          <w:rFonts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w:t>
      </w:r>
      <w:r>
        <w:rPr>
          <w:rFonts w:ascii="仿宋" w:hAnsi="仿宋" w:eastAsia="仿宋" w:cs="仿宋"/>
          <w:color w:val="000000"/>
          <w:sz w:val="24"/>
          <w:szCs w:val="24"/>
          <w:highlight w:val="yellow"/>
        </w:rPr>
        <w:t>1</w:t>
      </w:r>
      <w:r>
        <w:rPr>
          <w:rFonts w:hint="eastAsia" w:ascii="仿宋" w:hAnsi="仿宋" w:eastAsia="仿宋" w:cs="仿宋"/>
          <w:color w:val="000000"/>
          <w:sz w:val="24"/>
          <w:szCs w:val="24"/>
          <w:highlight w:val="yellow"/>
        </w:rPr>
        <w:t>）掌握中华优秀传统文化知识；</w:t>
      </w:r>
    </w:p>
    <w:p>
      <w:pPr>
        <w:adjustRightInd w:val="0"/>
        <w:snapToGrid w:val="0"/>
        <w:spacing w:line="360" w:lineRule="auto"/>
        <w:ind w:left="42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）了解主要英语国家概况和跨文化交际知识；</w:t>
      </w:r>
    </w:p>
    <w:p>
      <w:pPr>
        <w:adjustRightInd w:val="0"/>
        <w:snapToGrid w:val="0"/>
        <w:spacing w:line="360" w:lineRule="auto"/>
        <w:ind w:left="42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）掌握必备的思想政治理论和相关政策与法律知识；</w:t>
      </w:r>
    </w:p>
    <w:p>
      <w:pPr>
        <w:adjustRightInd w:val="0"/>
        <w:snapToGrid w:val="0"/>
        <w:spacing w:line="360" w:lineRule="auto"/>
        <w:ind w:left="420"/>
        <w:rPr>
          <w:rFonts w:ascii="仿宋" w:hAnsi="仿宋" w:eastAsia="仿宋"/>
          <w:color w:val="000000"/>
          <w:sz w:val="24"/>
          <w:szCs w:val="24"/>
        </w:rPr>
      </w:pPr>
      <w:r>
        <w:rPr>
          <w:rFonts w:hint="eastAsia" w:ascii="仿宋" w:hAnsi="仿宋" w:eastAsia="仿宋" w:cs="仿宋"/>
          <w:color w:val="000000"/>
          <w:sz w:val="24"/>
          <w:szCs w:val="24"/>
          <w:highlight w:val="yellow"/>
        </w:rPr>
        <w:t>（</w:t>
      </w:r>
      <w:r>
        <w:rPr>
          <w:rFonts w:ascii="仿宋" w:hAnsi="仿宋" w:eastAsia="仿宋" w:cs="仿宋"/>
          <w:color w:val="000000"/>
          <w:sz w:val="24"/>
          <w:szCs w:val="24"/>
          <w:highlight w:val="yellow"/>
        </w:rPr>
        <w:t>4</w:t>
      </w:r>
      <w:r>
        <w:rPr>
          <w:rFonts w:hint="eastAsia" w:ascii="仿宋" w:hAnsi="仿宋" w:eastAsia="仿宋" w:cs="仿宋"/>
          <w:color w:val="000000"/>
          <w:sz w:val="24"/>
          <w:szCs w:val="24"/>
          <w:highlight w:val="yellow"/>
        </w:rPr>
        <w:t>）掌握扎实的中英文语言基础知识；</w:t>
      </w:r>
    </w:p>
    <w:p>
      <w:pPr>
        <w:adjustRightInd w:val="0"/>
        <w:snapToGrid w:val="0"/>
        <w:spacing w:line="360" w:lineRule="auto"/>
        <w:ind w:left="42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）掌握旅游行业相关知识；</w:t>
      </w:r>
    </w:p>
    <w:p>
      <w:pPr>
        <w:adjustRightInd w:val="0"/>
        <w:snapToGrid w:val="0"/>
        <w:spacing w:line="360" w:lineRule="auto"/>
        <w:ind w:left="42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）掌握高星级酒店或国际旅行社基层岗位管理知识。</w:t>
      </w:r>
    </w:p>
    <w:p>
      <w:pPr>
        <w:overflowPunct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3、能力要求</w:t>
      </w:r>
    </w:p>
    <w:p>
      <w:pPr>
        <w:overflowPunct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highlight w:val="yellow"/>
        </w:rPr>
        <w:t>（1）能够运用良好的英语进行日常英语会话和应用文写作；</w:t>
      </w:r>
    </w:p>
    <w:p>
      <w:pPr>
        <w:overflowPunct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（2）能够运用基本的翻译技巧和翻译方法开展中英翻译；</w:t>
      </w:r>
    </w:p>
    <w:p>
      <w:pPr>
        <w:overflowPunct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（3）能够运用英语进行国际交流与协商，具备跨文化交际能力；</w:t>
      </w:r>
    </w:p>
    <w:p>
      <w:pPr>
        <w:overflowPunct w:val="0"/>
        <w:adjustRightInd w:val="0"/>
        <w:spacing w:line="360" w:lineRule="auto"/>
        <w:ind w:firstLine="480" w:firstLineChars="200"/>
        <w:rPr>
          <w:rFonts w:ascii="仿宋" w:hAnsi="仿宋" w:eastAsia="仿宋"/>
          <w:sz w:val="24"/>
          <w:szCs w:val="24"/>
          <w:highlight w:val="yellow"/>
        </w:rPr>
      </w:pPr>
      <w:r>
        <w:rPr>
          <w:rFonts w:hint="eastAsia" w:ascii="仿宋" w:hAnsi="仿宋" w:eastAsia="仿宋"/>
          <w:sz w:val="24"/>
          <w:szCs w:val="24"/>
          <w:highlight w:val="yellow"/>
        </w:rPr>
        <w:t>（4）能够运用英语传播中国文化；</w:t>
      </w:r>
    </w:p>
    <w:p>
      <w:pPr>
        <w:overflowPunct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（4）能够运用英语从事涉外旅游活动的基本操作；</w:t>
      </w:r>
    </w:p>
    <w:p>
      <w:pPr>
        <w:overflowPunct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（5）能够运用英语从事涉外旅游活动的组织、协调及管理；</w:t>
      </w:r>
    </w:p>
    <w:p>
      <w:pPr>
        <w:overflowPunct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（6）能够运用英语开展导游、旅行社计调、旅游咨询、酒店服务和出入境翻译等；</w:t>
      </w:r>
    </w:p>
    <w:p>
      <w:pPr>
        <w:overflowPunct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（7）能够运用英语基于互联网平台提供客户咨询服务。</w:t>
      </w:r>
    </w:p>
    <w:p>
      <w:pPr>
        <w:overflowPunct w:val="0"/>
        <w:adjustRightInd w:val="0"/>
        <w:ind w:firstLine="640" w:firstLineChars="200"/>
        <w:outlineLvl w:val="0"/>
        <w:rPr>
          <w:rFonts w:eastAsia="黑体"/>
          <w:szCs w:val="32"/>
        </w:rPr>
      </w:pPr>
      <w:r>
        <w:rPr>
          <w:rFonts w:eastAsia="黑体"/>
          <w:szCs w:val="32"/>
        </w:rPr>
        <w:t>六、课程设置及要求</w:t>
      </w:r>
    </w:p>
    <w:p>
      <w:pPr>
        <w:adjustRightInd w:val="0"/>
        <w:snapToGrid w:val="0"/>
        <w:spacing w:line="360" w:lineRule="auto"/>
        <w:ind w:firstLine="480" w:firstLineChars="200"/>
        <w:rPr>
          <w:rFonts w:ascii="仿宋" w:hAnsi="仿宋" w:eastAsia="仿宋"/>
          <w:color w:val="000000"/>
          <w:sz w:val="24"/>
          <w:szCs w:val="24"/>
        </w:rPr>
      </w:pPr>
      <w:r>
        <w:rPr>
          <w:rFonts w:hint="eastAsia" w:ascii="仿宋" w:hAnsi="仿宋" w:eastAsia="仿宋" w:cs="仿宋"/>
          <w:color w:val="000000"/>
          <w:sz w:val="24"/>
          <w:szCs w:val="24"/>
        </w:rPr>
        <w:t>本专业课程设置结合国家职业资格标准和行业现行标准，围绕本专业学生就业岗位，确立核心岗位任务，明确岗位工作流程和课程标准，结合典型工作任务工作过程，</w:t>
      </w:r>
      <w:r>
        <w:rPr>
          <w:rFonts w:hint="eastAsia" w:ascii="仿宋" w:hAnsi="仿宋" w:eastAsia="仿宋" w:cs="仿宋"/>
          <w:sz w:val="24"/>
          <w:szCs w:val="24"/>
        </w:rPr>
        <w:t>确定饭店管理和旅游管理两个方向的就业岗位知识及能力要求，结合学生认知规律，制定具体的专业课程及分层次教学计划，培养专业能力，提升职业素养，</w:t>
      </w:r>
      <w:r>
        <w:rPr>
          <w:rFonts w:hint="eastAsia" w:ascii="仿宋" w:hAnsi="仿宋" w:eastAsia="仿宋" w:cs="仿宋"/>
          <w:color w:val="000000"/>
          <w:sz w:val="24"/>
          <w:szCs w:val="24"/>
        </w:rPr>
        <w:t>调整并完善以培养学生“英语语言能力、旅游专业技能和旅游职业精神与职业素养”为目标，以公共基础课、专业基础课和专业课构成要件的旅游英语分方向专业课程体系。</w:t>
      </w:r>
    </w:p>
    <w:p>
      <w:pPr>
        <w:overflowPunct w:val="0"/>
        <w:adjustRightInd w:val="0"/>
        <w:ind w:firstLine="643" w:firstLineChars="200"/>
        <w:outlineLvl w:val="0"/>
        <w:rPr>
          <w:rFonts w:eastAsia="楷体_GB2312"/>
          <w:b/>
          <w:szCs w:val="32"/>
        </w:rPr>
      </w:pPr>
      <w:r>
        <w:rPr>
          <w:rFonts w:eastAsia="楷体_GB2312"/>
          <w:b/>
          <w:szCs w:val="32"/>
        </w:rPr>
        <w:t>（一）公共基础课程</w:t>
      </w:r>
    </w:p>
    <w:p>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公共基础课程旨在加强职业精神和职业素养教育；全面贯彻党的教育方针，落实立德树人根本任务，把社会主义核心价值观融入教育全过程，深入开展理想信念教育、爱国主义教育、</w:t>
      </w:r>
      <w:r>
        <w:rPr>
          <w:rFonts w:hint="eastAsia" w:ascii="仿宋" w:hAnsi="仿宋" w:eastAsia="仿宋" w:cs="仿宋"/>
          <w:color w:val="000000"/>
          <w:sz w:val="24"/>
          <w:szCs w:val="24"/>
          <w:highlight w:val="yellow"/>
        </w:rPr>
        <w:t>中华优秀传统文化教育</w:t>
      </w:r>
      <w:r>
        <w:rPr>
          <w:rFonts w:hint="eastAsia" w:ascii="仿宋" w:hAnsi="仿宋" w:eastAsia="仿宋" w:cs="仿宋"/>
          <w:color w:val="000000"/>
          <w:sz w:val="24"/>
          <w:szCs w:val="24"/>
        </w:rPr>
        <w:t>和革命传统教育，引导和帮助学生把握好人生方向，扣好人生的第一粒扣子。坚持素质教育，教育引导学生培养综合能力，鼓励和培养学生的创新精神；树立健康第一的思想，增强学生的体质，培养学生积极向上的健康心态，健全人格、锤炼意志</w:t>
      </w:r>
      <w:r>
        <w:rPr>
          <w:rFonts w:hint="eastAsia" w:ascii="仿宋" w:hAnsi="仿宋" w:eastAsia="仿宋" w:cs="仿宋"/>
          <w:color w:val="000000"/>
          <w:sz w:val="24"/>
          <w:szCs w:val="24"/>
          <w:highlight w:val="yellow"/>
        </w:rPr>
        <w:t>；坚持以美育人、以文化人，提高学生家国情怀和文化自信；</w:t>
      </w:r>
      <w:r>
        <w:rPr>
          <w:rFonts w:hint="eastAsia" w:ascii="仿宋" w:hAnsi="仿宋" w:eastAsia="仿宋" w:cs="仿宋"/>
          <w:color w:val="000000"/>
          <w:sz w:val="24"/>
          <w:szCs w:val="24"/>
        </w:rPr>
        <w:t>加强劳动教育，引导学生崇尚劳动、尊重劳动。</w:t>
      </w:r>
    </w:p>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表</w:t>
      </w:r>
      <w:r>
        <w:rPr>
          <w:rFonts w:ascii="仿宋" w:hAnsi="仿宋" w:eastAsia="仿宋" w:cs="仿宋"/>
          <w:color w:val="000000"/>
          <w:sz w:val="24"/>
          <w:szCs w:val="24"/>
        </w:rPr>
        <w:t>2</w:t>
      </w:r>
      <w:r>
        <w:rPr>
          <w:rFonts w:hint="eastAsia" w:ascii="仿宋" w:hAnsi="仿宋" w:eastAsia="仿宋" w:cs="仿宋"/>
          <w:color w:val="000000"/>
          <w:sz w:val="24"/>
          <w:szCs w:val="24"/>
        </w:rPr>
        <w:t>公共基础课程一览表</w:t>
      </w:r>
    </w:p>
    <w:tbl>
      <w:tblPr>
        <w:tblStyle w:val="15"/>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578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序号</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课程名称</w:t>
            </w:r>
          </w:p>
        </w:tc>
        <w:tc>
          <w:tcPr>
            <w:tcW w:w="5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主要内容与要求</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1</w:t>
            </w:r>
          </w:p>
        </w:tc>
        <w:tc>
          <w:tcPr>
            <w:tcW w:w="13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思想道德与法治</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从培养面向旅游经营管理一线高素质技能型人才的具体要求出发，配合专业教育，着重解决培养高职学生良好的道德素养和法治素养。通过本课程的教学，对大学生进行世界观、人生观、价值观、道德观和法治观教育，使学生具有明确的职业理想、良好的职业道德、科学的职业价值观和较完善的职业纪律素质，为高职各专业人才培养目标的实现以及高职学生成长成才和终生发展打下坚实的基础。</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ascii="仿宋" w:hAnsi="仿宋" w:eastAsia="仿宋"/>
                <w:sz w:val="21"/>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2</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毛泽东思想和中国特色社会主义理论体系概论</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课程旨在帮助大学生系统掌握中国化马克思主义的形成发展、主要内容和精神实质，不断增强中国特色社会主义道路自信、理论自信和制度自信。</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ascii="仿宋" w:hAnsi="仿宋" w:eastAsia="仿宋"/>
                <w:sz w:val="21"/>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3</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rPr>
            </w:pPr>
            <w:r>
              <w:rPr>
                <w:rFonts w:hint="eastAsia" w:ascii="仿宋" w:hAnsi="仿宋" w:eastAsia="仿宋"/>
                <w:sz w:val="21"/>
                <w:szCs w:val="24"/>
              </w:rPr>
              <w:t>习近平新时代中国特色社会主义概论</w:t>
            </w:r>
          </w:p>
        </w:tc>
        <w:tc>
          <w:tcPr>
            <w:tcW w:w="578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课程旨在帮助大学生深入学习领会习近平新时代中国特色社会主义思想的核心要义、精神实质、丰富内涵、实践要求，进一步增强大学生的“四个意识”，坚定“四个自信”，做到“两个维护”。</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4"/>
              </w:rPr>
            </w:pPr>
            <w:r>
              <w:rPr>
                <w:rFonts w:hint="eastAsia" w:ascii="仿宋" w:hAnsi="仿宋" w:eastAsia="仿宋"/>
                <w:sz w:val="21"/>
                <w:szCs w:val="24"/>
              </w:rPr>
              <w:t>5</w:t>
            </w:r>
            <w:r>
              <w:rPr>
                <w:rFonts w:ascii="仿宋" w:hAnsi="仿宋" w:eastAsia="仿宋"/>
                <w:sz w:val="21"/>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4</w:t>
            </w:r>
          </w:p>
        </w:tc>
        <w:tc>
          <w:tcPr>
            <w:tcW w:w="13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形势与政策</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课程是对学生进行形势与政策教育的主要途径，主要任务是帮助学生认清国内外政治经济形势、国际关系以及国内外热点事件，了解我国政府的基本原则、基本立场与应对政策，全面准确地理解党的路线、方针和政策，不断提高大学生认识和把握形势的能力。</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5</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军事理论、训练及入学教育</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4"/>
              </w:rPr>
            </w:pPr>
            <w:r>
              <w:rPr>
                <w:rFonts w:hint="eastAsia" w:ascii="仿宋" w:hAnsi="仿宋" w:eastAsia="仿宋"/>
                <w:sz w:val="21"/>
                <w:szCs w:val="24"/>
              </w:rPr>
              <w:t>通过军事理论的学习与军事技能的训练，使学生掌握基本军事理论与军事技能，达到增强国防观念和国家安全意识，提高思想政治觉悟，强化爱国主义、集体主义现念，加强组织纪律性，促进大学生综合素质的提高，为中国人民解放军训练后备兵员和培养预备役军官打下坚实的基础。</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6</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信息技术</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本课程通过丰富的教学内容和多样化的教学形式， 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7</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基础英语</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四项学科核心素养的发展目标。</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ascii="仿宋" w:hAnsi="仿宋" w:eastAsia="仿宋"/>
                <w:sz w:val="21"/>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8</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公共体育</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通过体育课程教学，掌握管理、与促进自身健康的能力（增强健康层面）。利用体育锻炼的手段和体育载体，有针对性发展本专业今后从业和胜任工作岗位所需的身心素质，以增强学生的职业综合素质（服务专业层面）。</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9</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礼仪修养</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通过理论、实践、工学结合、校企互动的教学模式，使学生通过本课程的学习和训练，牢固树立礼貌服务意识，具备良好的礼仪秦养。养成良好的礼仪习惯，能掌握旅游社交的基本技巧、规范情况，灵活、准确地加以运用。以良好的操作方法，并能根据实际情况灵活、准确地加以运用，得体地与宾客交往，更好地胜任旅游职业岗位工作选修该课程模块，能具备基本的礼仪素养。</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写作</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 w:hAnsi="仿宋" w:eastAsia="仿宋"/>
                <w:sz w:val="21"/>
                <w:szCs w:val="21"/>
              </w:rPr>
            </w:pPr>
            <w:r>
              <w:rPr>
                <w:rFonts w:hint="eastAsia" w:ascii="仿宋" w:hAnsi="仿宋" w:eastAsia="仿宋"/>
                <w:sz w:val="21"/>
                <w:szCs w:val="21"/>
              </w:rPr>
              <w:t>通过应用写作理论的学习和实际写作训练，提高学生常用应用文写作和阅读能力，以适应当前和今后在学习、生活、工作中的写作需要同时，通过本课程的教学对学生进行人文思想教育，培养团队精神与严谨务实的学风与作风，努力提高学生综合素质，增强学生的职业能力和就业竞争力，为学生学好各门专业课和将来进入社会从事实际工作奠定良好的基础。</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709" w:type="dxa"/>
            <w:tcBorders>
              <w:top w:val="single" w:color="auto" w:sz="4" w:space="0"/>
              <w:left w:val="single" w:color="auto" w:sz="4" w:space="0"/>
              <w:bottom w:val="single" w:color="auto" w:sz="4" w:space="0"/>
              <w:right w:val="single" w:color="auto" w:sz="4" w:space="0"/>
            </w:tcBorders>
            <w:shd w:val="clear" w:color="auto" w:fill="FFFF00"/>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1</w:t>
            </w:r>
          </w:p>
        </w:tc>
        <w:tc>
          <w:tcPr>
            <w:tcW w:w="1305"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中华优秀传统文化（双语）</w:t>
            </w:r>
          </w:p>
        </w:tc>
        <w:tc>
          <w:tcPr>
            <w:tcW w:w="5783" w:type="dxa"/>
            <w:tcBorders>
              <w:top w:val="single" w:color="auto" w:sz="4" w:space="0"/>
              <w:left w:val="single" w:color="auto" w:sz="4" w:space="0"/>
              <w:bottom w:val="single" w:color="auto" w:sz="4" w:space="0"/>
              <w:right w:val="single" w:color="auto" w:sz="4" w:space="0"/>
            </w:tcBorders>
            <w:shd w:val="clear" w:color="auto" w:fill="FFFF00"/>
          </w:tcPr>
          <w:p>
            <w:pPr>
              <w:keepNext w:val="0"/>
              <w:keepLines w:val="0"/>
              <w:suppressLineNumbers w:val="0"/>
              <w:spacing w:before="0" w:beforeAutospacing="0" w:after="0" w:afterAutospacing="0" w:line="276" w:lineRule="auto"/>
              <w:ind w:left="0" w:right="0"/>
              <w:rPr>
                <w:rFonts w:hint="eastAsia" w:ascii="仿宋" w:hAnsi="仿宋" w:eastAsia="仿宋" w:cs="Times New Roman"/>
                <w:sz w:val="21"/>
                <w:szCs w:val="21"/>
                <w:lang w:val="en-US"/>
              </w:rPr>
            </w:pPr>
            <w:r>
              <w:rPr>
                <w:rFonts w:hint="eastAsia" w:ascii="仿宋" w:hAnsi="仿宋" w:eastAsia="仿宋" w:cs="Times New Roman"/>
                <w:sz w:val="21"/>
                <w:szCs w:val="21"/>
                <w:lang w:val="en-US" w:eastAsia="zh-CN"/>
              </w:rPr>
              <w:t>本课程旨在用中华优秀传统文化的精髓精华滋养当代大学生的精神世界，用中华优秀传统文化的丰富智慧提振当代大学生的精神力量，增强其文化自信和民族自豪感。帮助学生用英语来表达中华民族的各种文化现象以及思想内涵，弘扬中华民族的人文精神，对外传播好中国声音，提高中华文化的影响力。通过优秀传统文化与英语教学的共鸣融合，将中外知识进行整合和内化，全面提升学生多元、复合能力，培养“一精多会，一专多能”人才。</w:t>
            </w:r>
          </w:p>
          <w:p>
            <w:pPr>
              <w:keepNext w:val="0"/>
              <w:keepLines w:val="0"/>
              <w:suppressLineNumbers w:val="0"/>
              <w:spacing w:before="0" w:beforeAutospacing="0" w:after="0" w:afterAutospacing="0" w:line="276" w:lineRule="auto"/>
              <w:ind w:left="0" w:right="0"/>
              <w:rPr>
                <w:rFonts w:ascii="仿宋" w:hAnsi="仿宋" w:eastAsia="仿宋"/>
                <w:sz w:val="21"/>
                <w:szCs w:val="21"/>
              </w:rPr>
            </w:pPr>
          </w:p>
        </w:tc>
        <w:tc>
          <w:tcPr>
            <w:tcW w:w="709"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ascii="仿宋" w:hAnsi="仿宋" w:eastAsia="仿宋"/>
                <w:sz w:val="21"/>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2</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安全教育</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通过本课程的学习让学生自主掌握安全知识，增强安全防范能力，树立大安全观意识，维护学校正常教学，保障学生人身和财产安全，促进学生健康心理的形成，实现良好的就业。</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3</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职业道德</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hint="eastAsia" w:ascii="仿宋" w:hAnsi="仿宋" w:eastAsia="仿宋"/>
                <w:sz w:val="21"/>
                <w:szCs w:val="21"/>
              </w:rPr>
            </w:pPr>
            <w:r>
              <w:rPr>
                <w:rFonts w:hint="eastAsia" w:ascii="仿宋" w:hAnsi="仿宋" w:eastAsia="仿宋"/>
                <w:sz w:val="21"/>
                <w:szCs w:val="21"/>
                <w:lang w:val="en-US" w:eastAsia="zh-CN"/>
              </w:rPr>
              <w:t>本课程</w:t>
            </w:r>
            <w:r>
              <w:rPr>
                <w:rFonts w:hint="eastAsia" w:ascii="仿宋" w:hAnsi="仿宋" w:eastAsia="仿宋"/>
                <w:sz w:val="21"/>
                <w:szCs w:val="21"/>
              </w:rPr>
              <w:t>以马克思主义道德理论为指导，专门研究旅游职业活动中各种道德关系、原则和规范的学科</w:t>
            </w:r>
            <w:r>
              <w:rPr>
                <w:rFonts w:hint="eastAsia" w:ascii="仿宋" w:hAnsi="仿宋" w:eastAsia="仿宋"/>
                <w:sz w:val="21"/>
                <w:szCs w:val="21"/>
                <w:lang w:eastAsia="zh-CN"/>
              </w:rPr>
              <w:t>，</w:t>
            </w:r>
            <w:r>
              <w:rPr>
                <w:rFonts w:hint="eastAsia" w:ascii="仿宋" w:hAnsi="仿宋" w:eastAsia="仿宋"/>
                <w:sz w:val="21"/>
                <w:szCs w:val="21"/>
                <w:lang w:val="en-US" w:eastAsia="zh-CN"/>
              </w:rPr>
              <w:t>以</w:t>
            </w:r>
            <w:r>
              <w:rPr>
                <w:rFonts w:hint="eastAsia" w:ascii="仿宋" w:hAnsi="仿宋" w:eastAsia="仿宋"/>
                <w:sz w:val="21"/>
                <w:szCs w:val="21"/>
              </w:rPr>
              <w:t>提高旅游工作者的职业道德水平和培养敬业乐业的精神；教育他们按照社会主义旅游职业道德的原则要求自已</w:t>
            </w:r>
            <w:r>
              <w:rPr>
                <w:rFonts w:hint="eastAsia" w:ascii="仿宋" w:hAnsi="仿宋" w:eastAsia="仿宋"/>
                <w:sz w:val="21"/>
                <w:szCs w:val="21"/>
                <w:lang w:eastAsia="zh-CN"/>
              </w:rPr>
              <w:t>，</w:t>
            </w:r>
            <w:r>
              <w:rPr>
                <w:rFonts w:hint="eastAsia" w:ascii="仿宋" w:hAnsi="仿宋" w:eastAsia="仿宋"/>
                <w:sz w:val="21"/>
                <w:szCs w:val="21"/>
              </w:rPr>
              <w:t>加强自身的道德修养。</w:t>
            </w:r>
          </w:p>
          <w:p>
            <w:pPr>
              <w:keepNext w:val="0"/>
              <w:keepLines w:val="0"/>
              <w:suppressLineNumbers w:val="0"/>
              <w:spacing w:before="0" w:beforeAutospacing="0" w:after="0" w:afterAutospacing="0" w:line="276" w:lineRule="auto"/>
              <w:ind w:left="0" w:right="0"/>
              <w:rPr>
                <w:rFonts w:ascii="仿宋" w:hAnsi="仿宋" w:eastAsia="仿宋"/>
                <w:sz w:val="21"/>
                <w:szCs w:val="21"/>
              </w:rPr>
            </w:pP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4</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心理健康教育</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lang w:val="en-US" w:eastAsia="zh-CN"/>
              </w:rPr>
              <w:t>通过本课程的学习，</w:t>
            </w:r>
            <w:r>
              <w:rPr>
                <w:rFonts w:hint="eastAsia" w:ascii="仿宋" w:hAnsi="仿宋" w:eastAsia="仿宋"/>
                <w:sz w:val="21"/>
                <w:szCs w:val="21"/>
              </w:rPr>
              <w:t>提高学生的心理素质，使学生不断正确认识自我，增强调控自我、承受挫折、适应环境的能力</w:t>
            </w:r>
            <w:r>
              <w:rPr>
                <w:rFonts w:hint="eastAsia" w:ascii="仿宋" w:hAnsi="仿宋" w:eastAsia="仿宋"/>
                <w:sz w:val="21"/>
                <w:szCs w:val="21"/>
                <w:lang w:eastAsia="zh-CN"/>
              </w:rPr>
              <w:t>，</w:t>
            </w:r>
            <w:r>
              <w:rPr>
                <w:rFonts w:hint="eastAsia" w:ascii="仿宋" w:hAnsi="仿宋" w:eastAsia="仿宋"/>
                <w:sz w:val="21"/>
                <w:szCs w:val="21"/>
              </w:rPr>
              <w:t>充分开发他们的潜能，培养学生健全的人格和良好的个性心理品质</w:t>
            </w:r>
            <w:r>
              <w:rPr>
                <w:rFonts w:hint="eastAsia" w:ascii="仿宋" w:hAnsi="仿宋" w:eastAsia="仿宋"/>
                <w:sz w:val="21"/>
                <w:szCs w:val="21"/>
                <w:lang w:eastAsia="zh-CN"/>
              </w:rPr>
              <w:t>，</w:t>
            </w:r>
            <w:r>
              <w:rPr>
                <w:rFonts w:hint="eastAsia" w:ascii="仿宋" w:hAnsi="仿宋" w:eastAsia="仿宋"/>
                <w:sz w:val="21"/>
                <w:szCs w:val="21"/>
              </w:rPr>
              <w:t>促进学生</w:t>
            </w:r>
            <w:r>
              <w:rPr>
                <w:rFonts w:hint="eastAsia" w:ascii="仿宋" w:hAnsi="仿宋" w:eastAsia="仿宋"/>
                <w:sz w:val="21"/>
                <w:szCs w:val="21"/>
                <w:lang w:val="en-US" w:eastAsia="zh-CN"/>
              </w:rPr>
              <w:t>的全面</w:t>
            </w:r>
            <w:r>
              <w:rPr>
                <w:rFonts w:hint="eastAsia" w:ascii="仿宋" w:hAnsi="仿宋" w:eastAsia="仿宋"/>
                <w:sz w:val="21"/>
                <w:szCs w:val="21"/>
              </w:rPr>
              <w:t>发展。</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lang w:val="en-US" w:eastAsia="zh-CN"/>
              </w:rPr>
            </w:pPr>
            <w:r>
              <w:rPr>
                <w:rFonts w:hint="eastAsia" w:ascii="仿宋" w:hAnsi="仿宋" w:eastAsia="仿宋"/>
                <w:sz w:val="21"/>
                <w:szCs w:val="24"/>
              </w:rPr>
              <w:t>3</w:t>
            </w:r>
            <w:r>
              <w:rPr>
                <w:rFonts w:hint="eastAsia" w:ascii="仿宋" w:hAnsi="仿宋" w:eastAsia="仿宋"/>
                <w:sz w:val="21"/>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5</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4"/>
              </w:rPr>
              <w:t>职业发展与就业指导</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lang w:val="en-US" w:eastAsia="zh-CN"/>
              </w:rPr>
              <w:t>通过本课程学习，激发大学生职业生涯发展的自主意识，树立正确的就业观，促使大学生理性地规划自身未来的发展，并努力在学习过程中自觉地提高就业能力、创业能力和生涯管理能力。</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6</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1"/>
                <w:szCs w:val="24"/>
              </w:rPr>
            </w:pPr>
            <w:r>
              <w:rPr>
                <w:rFonts w:hint="eastAsia" w:ascii="仿宋" w:hAnsi="仿宋" w:eastAsia="仿宋"/>
                <w:sz w:val="21"/>
                <w:szCs w:val="24"/>
              </w:rPr>
              <w:t>创新创业教育</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lang w:val="en-US" w:eastAsia="zh-CN"/>
              </w:rPr>
              <w:t>通过本课程的学习，帮助学生熟悉创业环境、培养创新思维、锻炼创业能力等，特别掌握创业项目选择的方法，不断提高自身素质，会运用创新思维解决学习生活中的各类问题，能够根据自身条件制订合理创业目标，完成从学生到社会人的角色转换并合理进行个人职业发展。</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1"/>
              </w:rPr>
              <w:t>1</w:t>
            </w:r>
            <w:r>
              <w:rPr>
                <w:rFonts w:ascii="仿宋" w:hAnsi="仿宋" w:eastAsia="仿宋"/>
                <w:sz w:val="21"/>
                <w:szCs w:val="21"/>
              </w:rPr>
              <w:t>7</w:t>
            </w:r>
          </w:p>
        </w:tc>
        <w:tc>
          <w:tcPr>
            <w:tcW w:w="13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1"/>
                <w:szCs w:val="24"/>
              </w:rPr>
            </w:pPr>
            <w:r>
              <w:rPr>
                <w:rFonts w:hint="eastAsia" w:ascii="仿宋" w:hAnsi="仿宋" w:eastAsia="仿宋"/>
                <w:sz w:val="21"/>
                <w:szCs w:val="24"/>
              </w:rPr>
              <w:t>劳动教育</w:t>
            </w:r>
          </w:p>
        </w:tc>
        <w:tc>
          <w:tcPr>
            <w:tcW w:w="57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本课程遵照教育部《大中小学劳动教育指导纲要（试行）》的通知要求，贯彻新时代大学生劳动教育的指导思想、基本原则，兼顾大学生日常生活劳动、侧重于生产劳动和服务性劳动需要，旨在提升大学生综合劳动素养并促进其全面发展。</w:t>
            </w:r>
          </w:p>
          <w:p>
            <w:pPr>
              <w:keepNext w:val="0"/>
              <w:keepLines w:val="0"/>
              <w:suppressLineNumbers w:val="0"/>
              <w:spacing w:before="0" w:beforeAutospacing="0" w:after="0" w:afterAutospacing="0" w:line="276" w:lineRule="auto"/>
              <w:ind w:left="0" w:right="0"/>
              <w:rPr>
                <w:rFonts w:ascii="仿宋" w:hAnsi="仿宋" w:eastAsia="仿宋"/>
                <w:sz w:val="21"/>
                <w:szCs w:val="21"/>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sz w:val="21"/>
                <w:szCs w:val="21"/>
              </w:rPr>
            </w:pPr>
            <w:r>
              <w:rPr>
                <w:rFonts w:hint="eastAsia" w:ascii="仿宋" w:hAnsi="仿宋" w:eastAsia="仿宋"/>
                <w:sz w:val="21"/>
                <w:szCs w:val="24"/>
              </w:rPr>
              <w:t>24</w:t>
            </w:r>
          </w:p>
        </w:tc>
      </w:tr>
    </w:tbl>
    <w:p>
      <w:pPr>
        <w:adjustRightInd w:val="0"/>
        <w:snapToGrid w:val="0"/>
        <w:spacing w:line="360" w:lineRule="auto"/>
        <w:rPr>
          <w:rFonts w:hint="eastAsia" w:ascii="仿宋" w:hAnsi="仿宋" w:eastAsia="仿宋" w:cs="仿宋"/>
          <w:color w:val="000000"/>
          <w:sz w:val="24"/>
          <w:szCs w:val="24"/>
        </w:rPr>
      </w:pPr>
    </w:p>
    <w:p>
      <w:pPr>
        <w:overflowPunct w:val="0"/>
        <w:adjustRightInd w:val="0"/>
        <w:spacing w:line="360" w:lineRule="auto"/>
        <w:ind w:firstLine="643" w:firstLineChars="200"/>
        <w:outlineLvl w:val="0"/>
        <w:rPr>
          <w:rFonts w:eastAsia="楷体_GB2312"/>
          <w:b/>
          <w:szCs w:val="32"/>
        </w:rPr>
      </w:pPr>
      <w:r>
        <w:rPr>
          <w:rFonts w:eastAsia="楷体_GB2312"/>
          <w:b/>
          <w:szCs w:val="32"/>
        </w:rPr>
        <w:t>（二）专业（技能）课程</w:t>
      </w:r>
    </w:p>
    <w:p>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专业基础课程旨在提升学生英语技能，为使学生掌握英语听说读写译各项知识和技能，课程通过教学单元，采用讲练结合，以练为主的教学手段，通过有目的、较系统的相关内容学习，掌握英语基础知识及常用语法知识，系统掌握涉及专业相关等各方面的词汇量；培养实际运用语言的能力；丰富学生的英语文化知识，培养文化理解能力。</w:t>
      </w:r>
    </w:p>
    <w:p>
      <w:pPr>
        <w:adjustRightInd w:val="0"/>
        <w:snapToGrid w:val="0"/>
        <w:spacing w:line="360" w:lineRule="auto"/>
        <w:jc w:val="center"/>
        <w:rPr>
          <w:rFonts w:ascii="仿宋" w:hAnsi="仿宋" w:eastAsia="仿宋" w:cs="仿宋"/>
          <w:color w:val="000000"/>
          <w:sz w:val="24"/>
          <w:szCs w:val="24"/>
        </w:rPr>
      </w:pPr>
      <w:bookmarkStart w:id="1" w:name="_Hlk111325725"/>
      <w:bookmarkStart w:id="2" w:name="_Hlk111331275"/>
      <w:r>
        <w:rPr>
          <w:rFonts w:hint="eastAsia" w:ascii="仿宋" w:hAnsi="仿宋" w:eastAsia="仿宋" w:cs="仿宋"/>
          <w:color w:val="000000"/>
          <w:sz w:val="24"/>
          <w:szCs w:val="24"/>
        </w:rPr>
        <w:t>表</w:t>
      </w:r>
      <w:r>
        <w:rPr>
          <w:rFonts w:ascii="仿宋" w:hAnsi="仿宋" w:eastAsia="仿宋" w:cs="仿宋"/>
          <w:color w:val="000000"/>
          <w:sz w:val="24"/>
          <w:szCs w:val="24"/>
        </w:rPr>
        <w:t>3</w:t>
      </w:r>
      <w:r>
        <w:rPr>
          <w:rFonts w:hint="eastAsia" w:ascii="仿宋" w:hAnsi="仿宋" w:eastAsia="仿宋" w:cs="仿宋"/>
          <w:color w:val="000000"/>
          <w:sz w:val="24"/>
          <w:szCs w:val="24"/>
        </w:rPr>
        <w:t>专业基础课程一览表</w:t>
      </w:r>
    </w:p>
    <w:bookmarkEnd w:id="1"/>
    <w:tbl>
      <w:tblPr>
        <w:tblStyle w:val="15"/>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95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课程名称</w:t>
            </w:r>
          </w:p>
        </w:tc>
        <w:tc>
          <w:tcPr>
            <w:tcW w:w="5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firstLine="420" w:firstLineChars="200"/>
              <w:jc w:val="center"/>
              <w:rPr>
                <w:rFonts w:ascii="仿宋" w:hAnsi="仿宋" w:eastAsia="仿宋"/>
                <w:sz w:val="21"/>
                <w:szCs w:val="21"/>
              </w:rPr>
            </w:pPr>
            <w:r>
              <w:rPr>
                <w:rFonts w:hint="eastAsia" w:ascii="仿宋" w:hAnsi="仿宋" w:eastAsia="仿宋"/>
                <w:sz w:val="21"/>
                <w:szCs w:val="21"/>
              </w:rPr>
              <w:t>主要内容与要求</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1</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1"/>
              </w:rPr>
              <w:t>旅游行业概论</w:t>
            </w:r>
          </w:p>
        </w:tc>
        <w:tc>
          <w:tcPr>
            <w:tcW w:w="59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探究旅游产生及发展的背景和状况，分析其定义与属性，阐明旅游活动构成三要素。主要讲述旅游实物，包括饭店业的发展历史、类型及特点及目前新出现的非标准住宿业；传统旅行社与线上旅游平台；旅游景区的概述及运营，旅游交通、旅游购物品的种类、开发与发展。学习旅游新业态（康养旅游，乡村旅游，工业旅游，研学旅游，旅游演艺）与国家旅游业相关的新政策。通过本课程学习，学生能够对旅游和旅游业有专业性地认识及理解，为以后从事旅游业的工作打下良好的基础。</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36</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2</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1"/>
              </w:rPr>
              <w:t>旅游信息编辑</w:t>
            </w:r>
          </w:p>
        </w:tc>
        <w:tc>
          <w:tcPr>
            <w:tcW w:w="59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bCs/>
                <w:sz w:val="21"/>
                <w:szCs w:val="21"/>
              </w:rPr>
              <w:t>本课程主要讲授旅游信息的基本构成及相关特征、旅游类网络信息处理发布的流程，以及整个流程中需要用的工具软件的使用方法。通过学习，使学生掌握网络信息编辑、处理与发布方法，具备旅游攻略、旅游营销文案等旅游网络文案的写作能力。</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3</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1"/>
              </w:rPr>
              <w:t>旅游电子商务</w:t>
            </w:r>
          </w:p>
        </w:tc>
        <w:tc>
          <w:tcPr>
            <w:tcW w:w="59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bCs/>
                <w:sz w:val="21"/>
                <w:szCs w:val="21"/>
              </w:rPr>
              <w:t>本课程讲授的内容从旅游电子商务基本应用，到旅游电子商务模式、旅游电子商务技术、旅游电子支付、旅游电子商务的网络营销、旅游电子商务发展等职业技能的拓展，涵盖了旅游电子商务课程要求的主要知识和基本技能。通过学习，使学生了解电子商务在现代旅游企业中的基本应用，掌握旅游电子商务的基础理论和方法，并能进行旅游企业电子商务的基本操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4</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1"/>
              </w:rPr>
              <w:t>旅游接待英语</w:t>
            </w:r>
          </w:p>
        </w:tc>
        <w:tc>
          <w:tcPr>
            <w:tcW w:w="59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以旅游六大要素“吃住行游购娱”为线索，系统地培养和开拓学生旅游涉外接待方面的知识和英语的实际运用能力，增进学生的服务意识和与外国游客打交道的技巧，使学生能用丰富的知识和熟练而又专业的英语顺利完成接待任务。本课程使用的教材为本专业教师自编教材，把旅游接待工作中的知识点与多年实际接团的实践经验有机地融合在一起，力求生动与实用。另外本课程安排在大一的第二学期，是大一基础英语课程与大二旅游英语专业课程之间的桥梁课程。</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5</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1"/>
              </w:rPr>
              <w:t>基础英语（高阶）</w:t>
            </w:r>
          </w:p>
        </w:tc>
        <w:tc>
          <w:tcPr>
            <w:tcW w:w="59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旨在传授英语语言和跨文化知识，培养学生英语语言应用能力，使其在听、说、读、写、译五个方面综合发展，具备较强的英语阅读和书面及口头表达能力，具有从事涉外旅游工作所需的跨文化交际意识和素养，并能掌握基本的泛商务英语知识，了解不同行业和职业的英语交际场景，提高职场交际技能。</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6</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1"/>
              </w:rPr>
              <w:t>英语面试技巧</w:t>
            </w:r>
          </w:p>
        </w:tc>
        <w:tc>
          <w:tcPr>
            <w:tcW w:w="59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通过本课程的学习，使学生掌握国际大型旅游企业面试的基本运作程序、面试标准、以及相关的面试技巧。使学生能够具备适应企业英语面试的基本能力和技巧，提升面试的通过率。培养学生参加英语面试的自信心和应对技能，能够让学生了解和适应国际大型企业的职场环境和面试氛围，掌握跨文化交际的能力。</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7</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i/>
                <w:sz w:val="21"/>
                <w:szCs w:val="21"/>
              </w:rPr>
            </w:pPr>
            <w:r>
              <w:rPr>
                <w:rFonts w:hint="eastAsia" w:ascii="仿宋" w:hAnsi="仿宋" w:eastAsia="仿宋"/>
                <w:sz w:val="21"/>
                <w:szCs w:val="21"/>
              </w:rPr>
              <w:t>英语听说</w:t>
            </w:r>
          </w:p>
        </w:tc>
        <w:tc>
          <w:tcPr>
            <w:tcW w:w="59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旨在训练学生英语听说能力，提高英语听说技能。在培养学生扎实的英语听力和口语交际能力的同时，加深学生对旅游行业和英语国家文化背景和风俗习惯的了解，使学生能把所学语言知识转化为英语交际能力，顺利开展英语交际活动和为跨文化的交际沟通奠定基础。</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8</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1"/>
              </w:rPr>
              <w:t>英语口语</w:t>
            </w:r>
          </w:p>
        </w:tc>
        <w:tc>
          <w:tcPr>
            <w:tcW w:w="59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培养学生正确的语音语调、掌握基本语法知识及常用词汇，训练学生听力理解和口语表达能力，使学生通过学习，其英语口语水平基本符合旅游企事业单位初级管理岗位的工作，以及同层次其他工作在对外交往中的基本需要，达到较流畅英语会话水平。</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9</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sz w:val="21"/>
                <w:szCs w:val="21"/>
                <w:highlight w:val="yellow"/>
              </w:rPr>
            </w:pPr>
            <w:r>
              <w:rPr>
                <w:rFonts w:hint="eastAsia" w:ascii="仿宋" w:hAnsi="仿宋" w:eastAsia="仿宋"/>
                <w:sz w:val="21"/>
                <w:szCs w:val="21"/>
              </w:rPr>
              <w:t>英语语音</w:t>
            </w:r>
          </w:p>
        </w:tc>
        <w:tc>
          <w:tcPr>
            <w:tcW w:w="59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本课程旨在培养学生的英语语音能力，包括全面掌握英语语音知识，通过大量练习学会标准发音。熟练运用音素、重音、连读、语调等技能，提升英语口语，为将来在职场的英语口语交际打下良好基础。</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36</w:t>
            </w:r>
          </w:p>
        </w:tc>
      </w:tr>
    </w:tbl>
    <w:p>
      <w:pPr>
        <w:adjustRightInd w:val="0"/>
        <w:snapToGrid w:val="0"/>
        <w:spacing w:line="360" w:lineRule="auto"/>
        <w:ind w:firstLine="480" w:firstLineChars="200"/>
        <w:rPr>
          <w:rFonts w:ascii="仿宋" w:hAnsi="仿宋" w:eastAsia="仿宋" w:cs="仿宋"/>
          <w:color w:val="000000"/>
          <w:sz w:val="24"/>
          <w:szCs w:val="24"/>
        </w:rPr>
      </w:pPr>
    </w:p>
    <w:p>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按照饭店管理和旅游管理两个方向设置专业方向模块课程，突出职业素质和岗位技能培养；素质拓展模块由能够挖掘专业职业潜能，全面提升岗位技能和核心能力的选修课程组成。</w:t>
      </w:r>
    </w:p>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表</w:t>
      </w:r>
      <w:r>
        <w:rPr>
          <w:rFonts w:ascii="仿宋" w:hAnsi="仿宋" w:eastAsia="仿宋" w:cs="仿宋"/>
          <w:color w:val="000000"/>
          <w:sz w:val="24"/>
          <w:szCs w:val="24"/>
        </w:rPr>
        <w:t>4</w:t>
      </w:r>
      <w:r>
        <w:rPr>
          <w:rFonts w:hint="eastAsia" w:ascii="仿宋" w:hAnsi="仿宋" w:eastAsia="仿宋" w:cs="仿宋"/>
          <w:color w:val="000000"/>
          <w:sz w:val="24"/>
          <w:szCs w:val="24"/>
        </w:rPr>
        <w:t>专业方向课程一览表</w:t>
      </w:r>
    </w:p>
    <w:tbl>
      <w:tblPr>
        <w:tblStyle w:val="15"/>
        <w:tblW w:w="85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20"/>
        <w:gridCol w:w="596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序号</w:t>
            </w:r>
          </w:p>
        </w:tc>
        <w:tc>
          <w:tcPr>
            <w:tcW w:w="1120" w:type="dxa"/>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课程名称</w:t>
            </w:r>
          </w:p>
        </w:tc>
        <w:tc>
          <w:tcPr>
            <w:tcW w:w="5963" w:type="dxa"/>
            <w:vAlign w:val="center"/>
          </w:tcPr>
          <w:p>
            <w:pPr>
              <w:keepNext w:val="0"/>
              <w:keepLines w:val="0"/>
              <w:suppressLineNumbers w:val="0"/>
              <w:spacing w:before="0" w:beforeAutospacing="0" w:after="0" w:afterAutospacing="0" w:line="276" w:lineRule="auto"/>
              <w:ind w:left="0" w:right="0" w:firstLine="420" w:firstLineChars="200"/>
              <w:jc w:val="center"/>
              <w:rPr>
                <w:rFonts w:ascii="仿宋" w:hAnsi="仿宋" w:eastAsia="仿宋"/>
                <w:sz w:val="21"/>
                <w:szCs w:val="21"/>
              </w:rPr>
            </w:pPr>
            <w:r>
              <w:rPr>
                <w:rFonts w:hint="eastAsia" w:ascii="仿宋" w:hAnsi="仿宋" w:eastAsia="仿宋"/>
                <w:sz w:val="21"/>
                <w:szCs w:val="21"/>
              </w:rPr>
              <w:t>主要内容与要求</w:t>
            </w:r>
          </w:p>
        </w:tc>
        <w:tc>
          <w:tcPr>
            <w:tcW w:w="714"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ind w:left="0" w:right="0"/>
              <w:jc w:val="center"/>
              <w:rPr>
                <w:rFonts w:ascii="仿宋" w:hAnsi="仿宋" w:eastAsia="仿宋"/>
                <w:sz w:val="21"/>
                <w:szCs w:val="21"/>
              </w:rPr>
            </w:pPr>
            <w:r>
              <w:rPr>
                <w:rFonts w:hint="eastAsia" w:ascii="仿宋" w:hAnsi="仿宋" w:eastAsia="仿宋"/>
                <w:sz w:val="21"/>
                <w:szCs w:val="21"/>
              </w:rPr>
              <w:t>1</w:t>
            </w:r>
          </w:p>
        </w:tc>
        <w:tc>
          <w:tcPr>
            <w:tcW w:w="1120" w:type="dxa"/>
          </w:tcPr>
          <w:p>
            <w:pPr>
              <w:keepNext w:val="0"/>
              <w:keepLines w:val="0"/>
              <w:suppressLineNumbers w:val="0"/>
              <w:spacing w:before="0" w:beforeAutospacing="0" w:after="0" w:afterAutospacing="0"/>
              <w:ind w:left="0" w:right="0"/>
              <w:rPr>
                <w:rFonts w:ascii="仿宋" w:hAnsi="仿宋" w:eastAsia="仿宋"/>
                <w:sz w:val="21"/>
                <w:szCs w:val="21"/>
              </w:rPr>
            </w:pPr>
            <w:r>
              <w:rPr>
                <w:rFonts w:ascii="仿宋" w:hAnsi="仿宋" w:eastAsia="仿宋"/>
                <w:sz w:val="21"/>
                <w:szCs w:val="21"/>
              </w:rPr>
              <w:t>入境旅游产品组织与营销</w:t>
            </w:r>
          </w:p>
        </w:tc>
        <w:tc>
          <w:tcPr>
            <w:tcW w:w="5963" w:type="dxa"/>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cs="宋体"/>
                <w:color w:val="000000"/>
                <w:kern w:val="0"/>
                <w:sz w:val="21"/>
                <w:szCs w:val="21"/>
              </w:rPr>
              <w:t>本课程为校企合作项目共建课程，课程内容包括定制旅游产品在内的各类入境旅游产品组织与设计，通过本课程的学习使学生掌握基本的旅游产品组织与设计原理、技能。</w:t>
            </w:r>
          </w:p>
        </w:tc>
        <w:tc>
          <w:tcPr>
            <w:tcW w:w="714" w:type="dxa"/>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ind w:left="0" w:right="0"/>
              <w:jc w:val="center"/>
              <w:rPr>
                <w:rFonts w:ascii="仿宋" w:hAnsi="仿宋" w:eastAsia="仿宋"/>
                <w:sz w:val="21"/>
                <w:szCs w:val="21"/>
              </w:rPr>
            </w:pPr>
            <w:r>
              <w:rPr>
                <w:rFonts w:hint="eastAsia" w:ascii="仿宋" w:hAnsi="仿宋" w:eastAsia="仿宋"/>
                <w:sz w:val="21"/>
                <w:szCs w:val="21"/>
              </w:rPr>
              <w:t>2</w:t>
            </w:r>
          </w:p>
        </w:tc>
        <w:tc>
          <w:tcPr>
            <w:tcW w:w="1120" w:type="dxa"/>
          </w:tcPr>
          <w:p>
            <w:pPr>
              <w:keepNext w:val="0"/>
              <w:keepLines w:val="0"/>
              <w:suppressLineNumbers w:val="0"/>
              <w:spacing w:before="0" w:beforeAutospacing="0" w:after="0" w:afterAutospacing="0"/>
              <w:ind w:left="0" w:right="0"/>
              <w:rPr>
                <w:rFonts w:ascii="仿宋" w:hAnsi="仿宋" w:eastAsia="仿宋"/>
                <w:sz w:val="21"/>
                <w:szCs w:val="21"/>
              </w:rPr>
            </w:pPr>
            <w:r>
              <w:rPr>
                <w:rFonts w:hint="eastAsia" w:ascii="仿宋" w:hAnsi="仿宋" w:eastAsia="仿宋"/>
                <w:sz w:val="21"/>
                <w:szCs w:val="21"/>
              </w:rPr>
              <w:t>出境旅游营销</w:t>
            </w:r>
          </w:p>
        </w:tc>
        <w:tc>
          <w:tcPr>
            <w:tcW w:w="5963" w:type="dxa"/>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基于“课证贯通，校企共建”的研发理念，依托学院与龙途互动开展的校企合作项目，采用线上线下混合式教学模式。课程内容主要包括世界主要旅游目的地国家及地区的地理概况、主要地标及文化符号、精品旅游线路、旅游产品的介绍与说明。通过本课程的学习，学生能够了解世界主要旅游目的地国家及地区的基本概况，推介世界主要旅游目的地线路及其产品，获得海外旅游专家证书，掌握旅游线路设计的基本原则与流程，具备线上旅游产品的初步开发能力。</w:t>
            </w:r>
          </w:p>
        </w:tc>
        <w:tc>
          <w:tcPr>
            <w:tcW w:w="714" w:type="dxa"/>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ind w:left="0" w:right="0"/>
              <w:jc w:val="center"/>
              <w:rPr>
                <w:rFonts w:ascii="仿宋" w:hAnsi="仿宋" w:eastAsia="仿宋"/>
                <w:sz w:val="21"/>
                <w:szCs w:val="21"/>
              </w:rPr>
            </w:pPr>
            <w:r>
              <w:rPr>
                <w:rFonts w:hint="eastAsia" w:ascii="仿宋" w:hAnsi="仿宋" w:eastAsia="仿宋"/>
                <w:sz w:val="21"/>
                <w:szCs w:val="21"/>
              </w:rPr>
              <w:t>3</w:t>
            </w:r>
          </w:p>
        </w:tc>
        <w:tc>
          <w:tcPr>
            <w:tcW w:w="1120" w:type="dxa"/>
          </w:tcPr>
          <w:p>
            <w:pPr>
              <w:keepNext w:val="0"/>
              <w:keepLines w:val="0"/>
              <w:suppressLineNumbers w:val="0"/>
              <w:spacing w:before="0" w:beforeAutospacing="0" w:after="0" w:afterAutospacing="0"/>
              <w:ind w:left="0" w:right="0"/>
              <w:rPr>
                <w:rFonts w:ascii="仿宋" w:hAnsi="仿宋" w:eastAsia="仿宋"/>
                <w:sz w:val="21"/>
                <w:szCs w:val="21"/>
              </w:rPr>
            </w:pPr>
            <w:r>
              <w:rPr>
                <w:rFonts w:hint="eastAsia" w:ascii="仿宋" w:hAnsi="仿宋" w:eastAsia="仿宋"/>
                <w:sz w:val="21"/>
                <w:szCs w:val="21"/>
              </w:rPr>
              <w:t>英语模拟导游</w:t>
            </w:r>
          </w:p>
        </w:tc>
        <w:tc>
          <w:tcPr>
            <w:tcW w:w="5963" w:type="dxa"/>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依托学院与北京赫默公司开展的校企合作项目，培养学生掌握英文导游的专业知识和工作技能，深入了解并学会使用英语讲解山东省旅游资源、著名旅游景区景点，学会用英语流利介绍我省的历史文化、民俗文化和自然风光。通过知识和技能培训，提升学生参加英语导游证考试的通过率。</w:t>
            </w:r>
          </w:p>
        </w:tc>
        <w:tc>
          <w:tcPr>
            <w:tcW w:w="714" w:type="dxa"/>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ind w:left="0" w:right="0"/>
              <w:jc w:val="center"/>
              <w:rPr>
                <w:rFonts w:ascii="仿宋" w:hAnsi="仿宋" w:eastAsia="仿宋"/>
                <w:sz w:val="21"/>
                <w:szCs w:val="21"/>
              </w:rPr>
            </w:pPr>
            <w:r>
              <w:rPr>
                <w:rFonts w:hint="eastAsia" w:ascii="仿宋" w:hAnsi="仿宋" w:eastAsia="仿宋"/>
                <w:sz w:val="21"/>
                <w:szCs w:val="21"/>
              </w:rPr>
              <w:t>4</w:t>
            </w:r>
          </w:p>
        </w:tc>
        <w:tc>
          <w:tcPr>
            <w:tcW w:w="1120" w:type="dxa"/>
          </w:tcPr>
          <w:p>
            <w:pPr>
              <w:keepNext w:val="0"/>
              <w:keepLines w:val="0"/>
              <w:suppressLineNumbers w:val="0"/>
              <w:spacing w:before="0" w:beforeAutospacing="0" w:after="0" w:afterAutospacing="0"/>
              <w:ind w:left="0" w:right="0"/>
              <w:rPr>
                <w:rFonts w:ascii="仿宋" w:hAnsi="仿宋" w:eastAsia="仿宋"/>
                <w:sz w:val="21"/>
                <w:szCs w:val="21"/>
              </w:rPr>
            </w:pPr>
            <w:r>
              <w:rPr>
                <w:rFonts w:ascii="仿宋" w:hAnsi="仿宋" w:eastAsia="仿宋"/>
                <w:sz w:val="21"/>
                <w:szCs w:val="21"/>
              </w:rPr>
              <w:t>出境领队英语</w:t>
            </w:r>
          </w:p>
        </w:tc>
        <w:tc>
          <w:tcPr>
            <w:tcW w:w="5963" w:type="dxa"/>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本课程开设目的是使学生熟练掌握出境领队工作的基本业务流程和岗位工作技能，并能用英语对出境旅游中出现的共性问题和旅游者的个性化要求做出准确处理，顺利完成领队任务。</w:t>
            </w:r>
          </w:p>
        </w:tc>
        <w:tc>
          <w:tcPr>
            <w:tcW w:w="714" w:type="dxa"/>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ind w:left="0" w:right="0"/>
              <w:jc w:val="center"/>
              <w:rPr>
                <w:rFonts w:ascii="仿宋" w:hAnsi="仿宋" w:eastAsia="仿宋"/>
                <w:sz w:val="21"/>
                <w:szCs w:val="21"/>
              </w:rPr>
            </w:pPr>
            <w:r>
              <w:rPr>
                <w:rFonts w:hint="eastAsia" w:ascii="仿宋" w:hAnsi="仿宋" w:eastAsia="仿宋"/>
                <w:sz w:val="21"/>
                <w:szCs w:val="21"/>
              </w:rPr>
              <w:t>5</w:t>
            </w:r>
          </w:p>
        </w:tc>
        <w:tc>
          <w:tcPr>
            <w:tcW w:w="1120" w:type="dxa"/>
          </w:tcPr>
          <w:p>
            <w:pPr>
              <w:keepNext w:val="0"/>
              <w:keepLines w:val="0"/>
              <w:suppressLineNumbers w:val="0"/>
              <w:spacing w:before="0" w:beforeAutospacing="0" w:after="0" w:afterAutospacing="0"/>
              <w:ind w:left="0" w:right="0"/>
              <w:rPr>
                <w:rFonts w:ascii="仿宋" w:hAnsi="仿宋" w:eastAsia="仿宋"/>
                <w:sz w:val="21"/>
                <w:szCs w:val="21"/>
              </w:rPr>
            </w:pPr>
            <w:r>
              <w:rPr>
                <w:rFonts w:ascii="仿宋" w:hAnsi="仿宋" w:eastAsia="仿宋"/>
                <w:sz w:val="21"/>
                <w:szCs w:val="21"/>
              </w:rPr>
              <w:t>导游实务</w:t>
            </w:r>
          </w:p>
        </w:tc>
        <w:tc>
          <w:tcPr>
            <w:tcW w:w="5963" w:type="dxa"/>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通过本课程的学习，使学生掌握导游员的基本业务操作程序、带团时的突发状况的处理、以及相关的业务技巧，具备导游岗位的基本素质</w:t>
            </w:r>
            <w:r>
              <w:rPr>
                <w:rFonts w:ascii="仿宋" w:hAnsi="仿宋" w:eastAsia="仿宋"/>
                <w:sz w:val="21"/>
                <w:szCs w:val="21"/>
              </w:rPr>
              <w:t>和</w:t>
            </w:r>
            <w:r>
              <w:rPr>
                <w:rFonts w:hint="eastAsia" w:ascii="仿宋" w:hAnsi="仿宋" w:eastAsia="仿宋"/>
                <w:sz w:val="21"/>
                <w:szCs w:val="21"/>
              </w:rPr>
              <w:t>能力。</w:t>
            </w:r>
          </w:p>
        </w:tc>
        <w:tc>
          <w:tcPr>
            <w:tcW w:w="714" w:type="dxa"/>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ind w:left="0" w:right="0"/>
              <w:jc w:val="center"/>
              <w:rPr>
                <w:rFonts w:ascii="仿宋" w:hAnsi="仿宋" w:eastAsia="仿宋"/>
                <w:sz w:val="21"/>
                <w:szCs w:val="21"/>
              </w:rPr>
            </w:pPr>
            <w:r>
              <w:rPr>
                <w:rFonts w:hint="eastAsia" w:ascii="仿宋" w:hAnsi="仿宋" w:eastAsia="仿宋"/>
                <w:sz w:val="21"/>
                <w:szCs w:val="21"/>
              </w:rPr>
              <w:t>6</w:t>
            </w:r>
          </w:p>
        </w:tc>
        <w:tc>
          <w:tcPr>
            <w:tcW w:w="1120" w:type="dxa"/>
          </w:tcPr>
          <w:p>
            <w:pPr>
              <w:keepNext w:val="0"/>
              <w:keepLines w:val="0"/>
              <w:suppressLineNumbers w:val="0"/>
              <w:spacing w:before="0" w:beforeAutospacing="0" w:after="0" w:afterAutospacing="0"/>
              <w:ind w:left="0" w:right="0"/>
              <w:rPr>
                <w:rFonts w:ascii="仿宋" w:hAnsi="仿宋" w:eastAsia="仿宋"/>
                <w:sz w:val="21"/>
                <w:szCs w:val="21"/>
              </w:rPr>
            </w:pPr>
            <w:r>
              <w:rPr>
                <w:rFonts w:ascii="仿宋" w:hAnsi="仿宋" w:eastAsia="仿宋"/>
                <w:sz w:val="21"/>
                <w:szCs w:val="21"/>
              </w:rPr>
              <w:t>导游基础知识</w:t>
            </w:r>
          </w:p>
        </w:tc>
        <w:tc>
          <w:tcPr>
            <w:tcW w:w="5963" w:type="dxa"/>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本课程为学生进行导游讲解、从事导游工作奠定文化基础，提供知识支撑；也是考取全国导游资格证书的考证课程。通过本门课程的学习，为以后的实习与工作奠定良好旅游文化知识基础。</w:t>
            </w:r>
          </w:p>
        </w:tc>
        <w:tc>
          <w:tcPr>
            <w:tcW w:w="714" w:type="dxa"/>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ind w:left="0" w:right="0"/>
              <w:jc w:val="center"/>
              <w:rPr>
                <w:rFonts w:ascii="仿宋" w:hAnsi="仿宋" w:eastAsia="仿宋"/>
                <w:sz w:val="21"/>
                <w:szCs w:val="21"/>
              </w:rPr>
            </w:pPr>
            <w:r>
              <w:rPr>
                <w:rFonts w:hint="eastAsia" w:ascii="仿宋" w:hAnsi="仿宋" w:eastAsia="仿宋"/>
                <w:sz w:val="21"/>
                <w:szCs w:val="21"/>
              </w:rPr>
              <w:t>7</w:t>
            </w:r>
          </w:p>
        </w:tc>
        <w:tc>
          <w:tcPr>
            <w:tcW w:w="1120" w:type="dxa"/>
          </w:tcPr>
          <w:p>
            <w:pPr>
              <w:keepNext w:val="0"/>
              <w:keepLines w:val="0"/>
              <w:suppressLineNumbers w:val="0"/>
              <w:spacing w:before="0" w:beforeAutospacing="0" w:after="0" w:afterAutospacing="0"/>
              <w:ind w:left="0" w:right="0"/>
              <w:rPr>
                <w:rFonts w:ascii="仿宋" w:hAnsi="仿宋" w:eastAsia="仿宋"/>
                <w:sz w:val="21"/>
                <w:szCs w:val="21"/>
              </w:rPr>
            </w:pPr>
            <w:r>
              <w:rPr>
                <w:rFonts w:hint="eastAsia" w:ascii="仿宋" w:hAnsi="仿宋" w:eastAsia="仿宋"/>
                <w:sz w:val="21"/>
                <w:szCs w:val="21"/>
              </w:rPr>
              <w:t>旅游政策法规</w:t>
            </w:r>
          </w:p>
        </w:tc>
        <w:tc>
          <w:tcPr>
            <w:tcW w:w="5963" w:type="dxa"/>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是一门理论性、应用性、综合性非常强的课程。课程涉及我国旅游业宏观管理体制，以及旅游行业经营管理过程中具体的法律规章制度。学生了解掌握了相关重要旅游政策与法规，方可在日后的旅游服务与管理岗位上称职地工作。</w:t>
            </w:r>
          </w:p>
        </w:tc>
        <w:tc>
          <w:tcPr>
            <w:tcW w:w="714" w:type="dxa"/>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8</w:t>
            </w:r>
          </w:p>
        </w:tc>
        <w:tc>
          <w:tcPr>
            <w:tcW w:w="11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ascii="仿宋" w:hAnsi="仿宋" w:eastAsia="仿宋"/>
                <w:sz w:val="21"/>
                <w:szCs w:val="21"/>
              </w:rPr>
            </w:pPr>
            <w:r>
              <w:rPr>
                <w:rFonts w:hint="eastAsia" w:ascii="仿宋" w:hAnsi="仿宋" w:eastAsia="仿宋"/>
                <w:sz w:val="21"/>
                <w:szCs w:val="21"/>
              </w:rPr>
              <w:t>酒店专业英语</w:t>
            </w:r>
          </w:p>
        </w:tc>
        <w:tc>
          <w:tcPr>
            <w:tcW w:w="5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采用3A酒店英语教材，以国际品牌酒店主要运营部门岗位工作内容为主体，以工作任务为载体，以英语为工作语言，通过模拟工作情境和语言环境，让学生在完成各项学习任务的过程中，掌握酒店主要运营部门的岗位职责、业务流程、基本运营概念和应变技巧，具备用英语完成预约订房、登记入住、投诉处理、餐饮服务、结账离店等工作的能力。同时，结合旅游行业发展新趋势和动态，提升学生的职业道德、专业意识和综合素养，为学生进一步从事国际品牌高星级酒店实际工作奠定良好的基础。</w:t>
            </w: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9</w:t>
            </w:r>
          </w:p>
        </w:tc>
        <w:tc>
          <w:tcPr>
            <w:tcW w:w="11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sz w:val="21"/>
                <w:szCs w:val="21"/>
              </w:rPr>
            </w:pPr>
            <w:r>
              <w:rPr>
                <w:rFonts w:hint="eastAsia" w:ascii="仿宋" w:hAnsi="仿宋" w:eastAsia="仿宋"/>
                <w:sz w:val="21"/>
                <w:szCs w:val="21"/>
              </w:rPr>
              <w:t>酒店管理与数字化运营</w:t>
            </w:r>
          </w:p>
        </w:tc>
        <w:tc>
          <w:tcPr>
            <w:tcW w:w="5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按照星级饭店基层管理人员的职业能力与职业素质要求，了解以饭店实际工作内容、主要岗位职责为标准，系统学习饭店日常督导业务、综合督导业务、员工激励管理等知识，学会班次编排、例会组织、员工培训、监督考评、沟通交流等方法和技巧，形成通过沟通、协调解决实际工作问题的基本能力。</w:t>
            </w: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10</w:t>
            </w:r>
          </w:p>
        </w:tc>
        <w:tc>
          <w:tcPr>
            <w:tcW w:w="11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sz w:val="21"/>
                <w:szCs w:val="21"/>
              </w:rPr>
            </w:pPr>
            <w:r>
              <w:rPr>
                <w:rFonts w:hint="eastAsia" w:ascii="仿宋" w:hAnsi="仿宋" w:eastAsia="仿宋"/>
                <w:sz w:val="21"/>
                <w:szCs w:val="21"/>
              </w:rPr>
              <w:t>酒店市场营销与策划</w:t>
            </w:r>
          </w:p>
        </w:tc>
        <w:tc>
          <w:tcPr>
            <w:tcW w:w="5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以“知识讲授+行业案例+新媒体技术“三位一体的策划理念。知识讲授重点为酒店市场营销学的4P理论为核心的市场营销学的专业知识；行业案例重点结合营销著名案例，尤其是当前”各行业+旅游行业+酒店业“中非常鲜活的案例进行分析；新媒体技术重点讲授微信营销、微博营销、社区营销等多种营销技能和操作流程。</w:t>
            </w: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11</w:t>
            </w:r>
          </w:p>
        </w:tc>
        <w:tc>
          <w:tcPr>
            <w:tcW w:w="11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sz w:val="21"/>
                <w:szCs w:val="21"/>
              </w:rPr>
            </w:pPr>
            <w:r>
              <w:rPr>
                <w:rFonts w:hint="eastAsia" w:ascii="仿宋" w:hAnsi="仿宋" w:eastAsia="仿宋"/>
                <w:sz w:val="21"/>
                <w:szCs w:val="21"/>
              </w:rPr>
              <w:t>前厅运行与管理（双语）</w:t>
            </w:r>
          </w:p>
        </w:tc>
        <w:tc>
          <w:tcPr>
            <w:tcW w:w="5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通过本课程的学习，使学生熟悉前厅部运行与管理的基本程序和方法，掌握必备的英语表达方式，具有熟练的前厅部对客服务的技能，培养学生组织管理能力、解决问题的能力、服务意识以及综合运用能力，从而使学生具备从事前厅部初中级管理工作的能力。</w:t>
            </w: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12</w:t>
            </w:r>
          </w:p>
        </w:tc>
        <w:tc>
          <w:tcPr>
            <w:tcW w:w="11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sz w:val="21"/>
                <w:szCs w:val="21"/>
              </w:rPr>
            </w:pPr>
            <w:r>
              <w:rPr>
                <w:rFonts w:hint="eastAsia" w:ascii="仿宋" w:hAnsi="仿宋" w:eastAsia="仿宋"/>
                <w:sz w:val="21"/>
                <w:szCs w:val="21"/>
              </w:rPr>
              <w:t>客房运行与管理（双语）</w:t>
            </w:r>
          </w:p>
        </w:tc>
        <w:tc>
          <w:tcPr>
            <w:tcW w:w="5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通过学习本课程使学生了解客房产品和构成，掌握必备的英语表达方式，掌握客房部的组织结构、主要岗位和工作流程，了解客房部的业务特点。通过案例分析学习，提升学生的解决问题和应变的能力，提高学生的服务意识。</w:t>
            </w: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sz w:val="21"/>
                <w:szCs w:val="21"/>
              </w:rPr>
            </w:pPr>
            <w:r>
              <w:rPr>
                <w:rFonts w:hint="eastAsia" w:ascii="仿宋" w:hAnsi="仿宋" w:eastAsia="仿宋"/>
                <w:sz w:val="21"/>
                <w:szCs w:val="21"/>
              </w:rPr>
              <w:t>13</w:t>
            </w:r>
          </w:p>
        </w:tc>
        <w:tc>
          <w:tcPr>
            <w:tcW w:w="11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sz w:val="21"/>
                <w:szCs w:val="21"/>
              </w:rPr>
            </w:pPr>
            <w:r>
              <w:rPr>
                <w:rFonts w:hint="eastAsia" w:ascii="仿宋" w:hAnsi="仿宋" w:eastAsia="仿宋"/>
                <w:sz w:val="21"/>
                <w:szCs w:val="21"/>
              </w:rPr>
              <w:t>餐饮服务与管理（双语）</w:t>
            </w:r>
          </w:p>
        </w:tc>
        <w:tc>
          <w:tcPr>
            <w:tcW w:w="5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本课程目标是让学生了解餐饮服务与管理的基本知识和必备的英语表达方式，从专业的角度了解中餐厅与西餐厅的部门设置与工作分配，了解各种主题餐厅的特点等，从而使学生具备从事餐饮部初中级管理工作的能力。</w:t>
            </w:r>
            <w:r>
              <w:rPr>
                <w:rFonts w:hint="eastAsia" w:ascii="仿宋" w:hAnsi="仿宋" w:eastAsia="仿宋"/>
                <w:sz w:val="21"/>
                <w:szCs w:val="21"/>
              </w:rPr>
              <w:tab/>
            </w: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1"/>
                <w:szCs w:val="21"/>
              </w:rPr>
            </w:pPr>
            <w:r>
              <w:rPr>
                <w:rFonts w:hint="eastAsia" w:ascii="仿宋" w:hAnsi="仿宋" w:eastAsia="仿宋"/>
                <w:sz w:val="21"/>
                <w:szCs w:val="21"/>
              </w:rPr>
              <w:t>36</w:t>
            </w:r>
          </w:p>
        </w:tc>
      </w:tr>
    </w:tbl>
    <w:p>
      <w:pPr>
        <w:adjustRightInd w:val="0"/>
        <w:snapToGrid w:val="0"/>
        <w:spacing w:line="360" w:lineRule="auto"/>
        <w:ind w:firstLine="480" w:firstLineChars="200"/>
        <w:rPr>
          <w:rFonts w:ascii="仿宋" w:hAnsi="仿宋" w:eastAsia="仿宋" w:cs="仿宋"/>
          <w:color w:val="000000"/>
          <w:sz w:val="24"/>
          <w:szCs w:val="24"/>
        </w:rPr>
      </w:pPr>
    </w:p>
    <w:p>
      <w:pPr>
        <w:overflowPunct w:val="0"/>
        <w:adjustRightInd w:val="0"/>
        <w:ind w:firstLine="640" w:firstLineChars="200"/>
        <w:outlineLvl w:val="0"/>
        <w:rPr>
          <w:rFonts w:eastAsia="黑体"/>
          <w:szCs w:val="32"/>
        </w:rPr>
      </w:pPr>
      <w:r>
        <w:rPr>
          <w:rFonts w:eastAsia="黑体"/>
          <w:szCs w:val="32"/>
        </w:rPr>
        <w:t>七、教学进程总体安排</w:t>
      </w:r>
    </w:p>
    <w:p>
      <w:pPr>
        <w:snapToGrid w:val="0"/>
        <w:spacing w:before="240" w:line="360" w:lineRule="auto"/>
        <w:ind w:firstLine="480" w:firstLineChars="200"/>
        <w:jc w:val="left"/>
        <w:textAlignment w:val="baseline"/>
        <w:rPr>
          <w:rFonts w:ascii="仿宋" w:hAnsi="仿宋" w:eastAsia="仿宋" w:cs="仿宋"/>
          <w:color w:val="000000"/>
          <w:sz w:val="24"/>
          <w:szCs w:val="24"/>
        </w:rPr>
      </w:pPr>
      <w:r>
        <w:rPr>
          <w:rFonts w:hint="eastAsia" w:ascii="仿宋" w:hAnsi="仿宋" w:eastAsia="仿宋" w:cs="仿宋"/>
          <w:color w:val="000000"/>
          <w:sz w:val="24"/>
          <w:szCs w:val="24"/>
        </w:rPr>
        <w:t>旅游英语专业围绕“能力共融，学岗交替”的人才培养模式，按照三年两阶段（两年校内学习，一年企业顶岗实习）的方式组织教学，在两年校内学习期内，将公共课程模块、专业基础课程模块、专业课程模块，结合综合实践组成的的旅游英语分方向专业课程体系。根据学生的英语基础、个性差异和学习意愿，实施分方向（饭店管理方向与旅游管理方向）与分层次教学。</w:t>
      </w:r>
    </w:p>
    <w:p>
      <w:pPr>
        <w:snapToGrid w:val="0"/>
        <w:spacing w:line="360" w:lineRule="auto"/>
        <w:textAlignment w:val="baseline"/>
        <w:rPr>
          <w:rFonts w:ascii="宋体" w:eastAsia="宋体"/>
          <w:bCs/>
          <w:color w:val="000000"/>
          <w:sz w:val="24"/>
          <w:szCs w:val="24"/>
        </w:rPr>
      </w:pPr>
    </w:p>
    <w:p>
      <w:pPr>
        <w:snapToGrid w:val="0"/>
        <w:spacing w:line="360" w:lineRule="auto"/>
        <w:jc w:val="center"/>
        <w:textAlignment w:val="baseline"/>
        <w:rPr>
          <w:rFonts w:ascii="宋体" w:hAnsi="宋体" w:eastAsia="宋体"/>
          <w:color w:val="000000"/>
          <w:kern w:val="0"/>
          <w:sz w:val="21"/>
          <w:szCs w:val="21"/>
        </w:rPr>
      </w:pPr>
      <w:r>
        <w:rPr>
          <w:rFonts w:hint="eastAsia" w:ascii="宋体" w:hAnsi="宋体" w:eastAsia="宋体" w:cs="Courier New"/>
          <w:color w:val="000000"/>
          <w:kern w:val="0"/>
          <w:sz w:val="21"/>
          <w:szCs w:val="21"/>
        </w:rPr>
        <w:t>表</w:t>
      </w:r>
      <w:r>
        <w:rPr>
          <w:rFonts w:hAnsi="宋体" w:eastAsia="宋体"/>
          <w:color w:val="000000"/>
          <w:kern w:val="0"/>
          <w:sz w:val="21"/>
          <w:szCs w:val="21"/>
        </w:rPr>
        <w:t xml:space="preserve">5 </w:t>
      </w:r>
      <w:r>
        <w:rPr>
          <w:rFonts w:hint="eastAsia" w:ascii="宋体" w:hAnsi="宋体" w:eastAsia="宋体" w:cs="Courier New"/>
          <w:color w:val="000000"/>
          <w:kern w:val="0"/>
          <w:sz w:val="21"/>
          <w:szCs w:val="21"/>
        </w:rPr>
        <w:t>各类课程学分数和学时数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148"/>
        <w:gridCol w:w="758"/>
        <w:gridCol w:w="886"/>
        <w:gridCol w:w="885"/>
        <w:gridCol w:w="885"/>
        <w:gridCol w:w="1012"/>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5" w:type="pct"/>
            <w:vMerge w:val="restart"/>
            <w:vAlign w:val="center"/>
          </w:tcPr>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课堂</w:t>
            </w:r>
          </w:p>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教学</w:t>
            </w:r>
          </w:p>
        </w:tc>
        <w:tc>
          <w:tcPr>
            <w:tcW w:w="1260" w:type="pct"/>
            <w:vMerge w:val="restart"/>
            <w:vAlign w:val="center"/>
          </w:tcPr>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课程类别</w:t>
            </w:r>
          </w:p>
        </w:tc>
        <w:tc>
          <w:tcPr>
            <w:tcW w:w="445" w:type="pct"/>
            <w:vMerge w:val="restart"/>
            <w:vAlign w:val="center"/>
          </w:tcPr>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学时</w:t>
            </w:r>
          </w:p>
        </w:tc>
        <w:tc>
          <w:tcPr>
            <w:tcW w:w="520" w:type="pct"/>
            <w:vMerge w:val="restart"/>
            <w:vAlign w:val="center"/>
          </w:tcPr>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学时</w:t>
            </w:r>
          </w:p>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比例</w:t>
            </w:r>
          </w:p>
        </w:tc>
        <w:tc>
          <w:tcPr>
            <w:tcW w:w="519" w:type="pct"/>
            <w:vMerge w:val="restart"/>
            <w:vAlign w:val="center"/>
          </w:tcPr>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学分</w:t>
            </w:r>
          </w:p>
        </w:tc>
        <w:tc>
          <w:tcPr>
            <w:tcW w:w="519" w:type="pct"/>
            <w:vMerge w:val="restart"/>
            <w:vAlign w:val="center"/>
          </w:tcPr>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学分</w:t>
            </w:r>
          </w:p>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比例</w:t>
            </w:r>
          </w:p>
        </w:tc>
        <w:tc>
          <w:tcPr>
            <w:tcW w:w="1262" w:type="pct"/>
            <w:gridSpan w:val="2"/>
            <w:vAlign w:val="center"/>
          </w:tcPr>
          <w:p>
            <w:pPr>
              <w:keepNext w:val="0"/>
              <w:keepLines w:val="0"/>
              <w:suppressLineNumbers w:val="0"/>
              <w:spacing w:before="0" w:beforeAutospacing="0" w:after="0" w:afterAutospacing="0" w:line="360" w:lineRule="auto"/>
              <w:ind w:left="0" w:right="0"/>
              <w:textAlignment w:val="baseline"/>
              <w:rPr>
                <w:rFonts w:ascii="宋体" w:eastAsia="宋体"/>
                <w:sz w:val="20"/>
                <w:szCs w:val="24"/>
              </w:rPr>
            </w:pPr>
            <w:r>
              <w:rPr>
                <w:rFonts w:hint="eastAsia" w:ascii="宋体" w:hAnsi="宋体" w:eastAsia="宋体" w:cs="宋体"/>
                <w:sz w:val="21"/>
                <w:szCs w:val="24"/>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7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1260"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44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520"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519"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519" w:type="pct"/>
            <w:vMerge w:val="continue"/>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理论</w:t>
            </w:r>
          </w:p>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教学</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实践</w:t>
            </w:r>
          </w:p>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7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126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公共基础课</w:t>
            </w:r>
          </w:p>
        </w:tc>
        <w:tc>
          <w:tcPr>
            <w:tcW w:w="445"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hint="eastAsia" w:ascii="宋体" w:eastAsia="宋体" w:cs="宋体"/>
                <w:sz w:val="21"/>
                <w:szCs w:val="24"/>
              </w:rPr>
              <w:t>8</w:t>
            </w:r>
            <w:r>
              <w:rPr>
                <w:rFonts w:ascii="宋体" w:eastAsia="宋体" w:cs="宋体"/>
                <w:sz w:val="21"/>
                <w:szCs w:val="24"/>
              </w:rPr>
              <w:t>26</w:t>
            </w: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30.9%</w:t>
            </w:r>
          </w:p>
        </w:tc>
        <w:tc>
          <w:tcPr>
            <w:tcW w:w="519"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39</w:t>
            </w:r>
          </w:p>
        </w:tc>
        <w:tc>
          <w:tcPr>
            <w:tcW w:w="519" w:type="pct"/>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26.7%</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530</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hint="eastAsia" w:ascii="宋体" w:eastAsia="宋体" w:cs="宋体"/>
                <w:sz w:val="21"/>
                <w:szCs w:val="24"/>
              </w:rPr>
              <w:t>2</w:t>
            </w:r>
            <w:r>
              <w:rPr>
                <w:rFonts w:ascii="宋体" w:eastAsia="宋体" w:cs="宋体"/>
                <w:sz w:val="21"/>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7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126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公共选修课</w:t>
            </w:r>
          </w:p>
        </w:tc>
        <w:tc>
          <w:tcPr>
            <w:tcW w:w="445"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ascii="宋体" w:hAnsi="宋体" w:eastAsia="宋体" w:cs="宋体"/>
                <w:sz w:val="21"/>
                <w:szCs w:val="24"/>
              </w:rPr>
              <w:t>288</w:t>
            </w: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10.8%</w:t>
            </w:r>
          </w:p>
        </w:tc>
        <w:tc>
          <w:tcPr>
            <w:tcW w:w="519"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ascii="宋体" w:hAnsi="宋体" w:eastAsia="宋体" w:cs="宋体"/>
                <w:sz w:val="21"/>
                <w:szCs w:val="24"/>
              </w:rPr>
              <w:t>16</w:t>
            </w:r>
          </w:p>
        </w:tc>
        <w:tc>
          <w:tcPr>
            <w:tcW w:w="519" w:type="pct"/>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11.0%</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192</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7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126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专业基础课</w:t>
            </w:r>
          </w:p>
        </w:tc>
        <w:tc>
          <w:tcPr>
            <w:tcW w:w="445"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612</w:t>
            </w: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23.0%</w:t>
            </w:r>
          </w:p>
        </w:tc>
        <w:tc>
          <w:tcPr>
            <w:tcW w:w="519"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34</w:t>
            </w:r>
          </w:p>
        </w:tc>
        <w:tc>
          <w:tcPr>
            <w:tcW w:w="519" w:type="pct"/>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23.3%</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3</w:t>
            </w:r>
            <w:r>
              <w:rPr>
                <w:rFonts w:hint="eastAsia" w:ascii="宋体" w:eastAsia="宋体" w:cs="宋体"/>
                <w:sz w:val="21"/>
                <w:szCs w:val="24"/>
              </w:rPr>
              <w:t>4</w:t>
            </w:r>
            <w:r>
              <w:rPr>
                <w:rFonts w:ascii="宋体" w:eastAsia="宋体" w:cs="宋体"/>
                <w:sz w:val="21"/>
                <w:szCs w:val="24"/>
              </w:rPr>
              <w:t>2</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7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126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专业课</w:t>
            </w:r>
          </w:p>
        </w:tc>
        <w:tc>
          <w:tcPr>
            <w:tcW w:w="445"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288</w:t>
            </w: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10.8%</w:t>
            </w:r>
          </w:p>
        </w:tc>
        <w:tc>
          <w:tcPr>
            <w:tcW w:w="519"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16</w:t>
            </w:r>
          </w:p>
        </w:tc>
        <w:tc>
          <w:tcPr>
            <w:tcW w:w="519" w:type="pct"/>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11.0%</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158</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5" w:type="pct"/>
            <w:vMerge w:val="restar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综合</w:t>
            </w:r>
          </w:p>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实践</w:t>
            </w:r>
          </w:p>
        </w:tc>
        <w:tc>
          <w:tcPr>
            <w:tcW w:w="1260" w:type="pct"/>
            <w:vAlign w:val="center"/>
          </w:tcPr>
          <w:p>
            <w:pPr>
              <w:keepNext w:val="0"/>
              <w:keepLines w:val="0"/>
              <w:suppressLineNumbers w:val="0"/>
              <w:spacing w:before="0" w:beforeAutospacing="0" w:after="0" w:afterAutospacing="0"/>
              <w:ind w:left="0" w:right="0"/>
              <w:jc w:val="center"/>
              <w:textAlignment w:val="baseline"/>
              <w:rPr>
                <w:rFonts w:ascii="宋体" w:eastAsia="宋体"/>
                <w:sz w:val="20"/>
                <w:szCs w:val="24"/>
              </w:rPr>
            </w:pPr>
            <w:r>
              <w:rPr>
                <w:rFonts w:hint="eastAsia" w:ascii="宋体" w:hAnsi="宋体" w:eastAsia="宋体" w:cs="宋体"/>
                <w:sz w:val="21"/>
                <w:szCs w:val="24"/>
              </w:rPr>
              <w:t>第二课堂</w:t>
            </w:r>
          </w:p>
        </w:tc>
        <w:tc>
          <w:tcPr>
            <w:tcW w:w="445" w:type="pct"/>
            <w:vAlign w:val="center"/>
          </w:tcPr>
          <w:p>
            <w:pPr>
              <w:keepNext w:val="0"/>
              <w:keepLines w:val="0"/>
              <w:suppressLineNumbers w:val="0"/>
              <w:spacing w:before="0" w:beforeAutospacing="0" w:after="0" w:afterAutospacing="0"/>
              <w:ind w:left="0" w:right="0"/>
              <w:jc w:val="center"/>
              <w:textAlignment w:val="baseline"/>
              <w:rPr>
                <w:rFonts w:ascii="宋体" w:eastAsia="宋体"/>
                <w:kern w:val="0"/>
                <w:sz w:val="18"/>
                <w:szCs w:val="18"/>
              </w:rPr>
            </w:pP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0.0%</w:t>
            </w:r>
          </w:p>
        </w:tc>
        <w:tc>
          <w:tcPr>
            <w:tcW w:w="519" w:type="pct"/>
            <w:vAlign w:val="center"/>
          </w:tcPr>
          <w:p>
            <w:pPr>
              <w:keepNext w:val="0"/>
              <w:keepLines w:val="0"/>
              <w:suppressLineNumbers w:val="0"/>
              <w:spacing w:before="0" w:beforeAutospacing="0" w:after="0" w:afterAutospacing="0"/>
              <w:ind w:left="0" w:right="0"/>
              <w:jc w:val="center"/>
              <w:textAlignment w:val="baseline"/>
              <w:rPr>
                <w:rFonts w:ascii="宋体" w:eastAsia="宋体" w:cs="宋体"/>
                <w:sz w:val="20"/>
                <w:szCs w:val="24"/>
              </w:rPr>
            </w:pPr>
            <w:r>
              <w:rPr>
                <w:rFonts w:ascii="宋体" w:hAnsi="宋体" w:eastAsia="宋体" w:cs="宋体"/>
                <w:kern w:val="0"/>
                <w:sz w:val="21"/>
                <w:szCs w:val="24"/>
              </w:rPr>
              <w:t>4</w:t>
            </w:r>
          </w:p>
        </w:tc>
        <w:tc>
          <w:tcPr>
            <w:tcW w:w="519" w:type="pct"/>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2.7%</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hAnsi="宋体" w:eastAsia="宋体" w:cs="宋体"/>
                <w:kern w:val="0"/>
                <w:sz w:val="21"/>
                <w:szCs w:val="24"/>
              </w:rPr>
              <w:t>/</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hAnsi="宋体" w:eastAsia="宋体" w:cs="宋体"/>
                <w:kern w:val="0"/>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hAnsi="宋体" w:eastAsia="宋体" w:cs="宋体"/>
                <w:sz w:val="21"/>
                <w:szCs w:val="24"/>
              </w:rPr>
            </w:pPr>
          </w:p>
        </w:tc>
        <w:tc>
          <w:tcPr>
            <w:tcW w:w="1260" w:type="pct"/>
            <w:vAlign w:val="center"/>
          </w:tcPr>
          <w:p>
            <w:pPr>
              <w:keepNext w:val="0"/>
              <w:keepLines w:val="0"/>
              <w:suppressLineNumbers w:val="0"/>
              <w:spacing w:before="0" w:beforeAutospacing="0" w:after="0" w:afterAutospacing="0"/>
              <w:ind w:left="0" w:right="0"/>
              <w:jc w:val="center"/>
              <w:textAlignment w:val="baseline"/>
              <w:rPr>
                <w:rFonts w:ascii="宋体" w:hAnsi="宋体" w:eastAsia="宋体" w:cs="宋体"/>
                <w:color w:val="000000"/>
                <w:sz w:val="21"/>
                <w:szCs w:val="24"/>
              </w:rPr>
            </w:pPr>
            <w:r>
              <w:rPr>
                <w:rFonts w:hint="eastAsia" w:ascii="宋体" w:hAnsi="宋体" w:eastAsia="宋体" w:cs="宋体"/>
                <w:color w:val="000000"/>
                <w:sz w:val="21"/>
                <w:szCs w:val="24"/>
              </w:rPr>
              <w:t>认识实习</w:t>
            </w:r>
          </w:p>
        </w:tc>
        <w:tc>
          <w:tcPr>
            <w:tcW w:w="445" w:type="pct"/>
            <w:vAlign w:val="center"/>
          </w:tcPr>
          <w:p>
            <w:pPr>
              <w:keepNext w:val="0"/>
              <w:keepLines w:val="0"/>
              <w:suppressLineNumbers w:val="0"/>
              <w:spacing w:before="0" w:beforeAutospacing="0" w:after="0" w:afterAutospacing="0"/>
              <w:ind w:left="0" w:right="0"/>
              <w:jc w:val="center"/>
              <w:textAlignment w:val="baseline"/>
              <w:rPr>
                <w:rFonts w:ascii="宋体" w:eastAsia="宋体"/>
                <w:color w:val="000000"/>
                <w:kern w:val="0"/>
                <w:sz w:val="21"/>
                <w:szCs w:val="21"/>
              </w:rPr>
            </w:pPr>
            <w:r>
              <w:rPr>
                <w:rFonts w:hint="eastAsia" w:ascii="宋体" w:eastAsia="宋体"/>
                <w:color w:val="000000"/>
                <w:kern w:val="0"/>
                <w:sz w:val="21"/>
                <w:szCs w:val="21"/>
              </w:rPr>
              <w:t>16</w:t>
            </w: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0.6%</w:t>
            </w:r>
          </w:p>
        </w:tc>
        <w:tc>
          <w:tcPr>
            <w:tcW w:w="519" w:type="pct"/>
            <w:vAlign w:val="center"/>
          </w:tcPr>
          <w:p>
            <w:pPr>
              <w:keepNext w:val="0"/>
              <w:keepLines w:val="0"/>
              <w:suppressLineNumbers w:val="0"/>
              <w:spacing w:before="0" w:beforeAutospacing="0" w:after="0" w:afterAutospacing="0"/>
              <w:ind w:left="0" w:right="0"/>
              <w:jc w:val="center"/>
              <w:textAlignment w:val="baseline"/>
              <w:rPr>
                <w:rFonts w:ascii="宋体" w:hAnsi="宋体" w:eastAsia="宋体" w:cs="宋体"/>
                <w:color w:val="000000"/>
                <w:kern w:val="0"/>
                <w:sz w:val="21"/>
                <w:szCs w:val="24"/>
              </w:rPr>
            </w:pPr>
            <w:r>
              <w:rPr>
                <w:rFonts w:hint="eastAsia" w:ascii="宋体" w:hAnsi="宋体" w:eastAsia="宋体" w:cs="宋体"/>
                <w:color w:val="000000"/>
                <w:kern w:val="0"/>
                <w:sz w:val="21"/>
                <w:szCs w:val="24"/>
              </w:rPr>
              <w:t>1</w:t>
            </w:r>
          </w:p>
        </w:tc>
        <w:tc>
          <w:tcPr>
            <w:tcW w:w="519" w:type="pct"/>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0.7%</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hAnsi="宋体" w:eastAsia="宋体" w:cs="宋体"/>
                <w:color w:val="000000"/>
                <w:kern w:val="0"/>
                <w:sz w:val="21"/>
                <w:szCs w:val="24"/>
              </w:rPr>
            </w:pP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hAnsi="宋体" w:eastAsia="宋体" w:cs="宋体"/>
                <w:kern w:val="0"/>
                <w:sz w:val="21"/>
                <w:szCs w:val="24"/>
              </w:rPr>
            </w:pPr>
            <w:r>
              <w:rPr>
                <w:rFonts w:hint="eastAsia" w:ascii="宋体" w:hAnsi="宋体" w:eastAsia="宋体" w:cs="宋体"/>
                <w:kern w:val="0"/>
                <w:sz w:val="21"/>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7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126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olor w:val="000000"/>
                <w:sz w:val="20"/>
                <w:szCs w:val="24"/>
              </w:rPr>
            </w:pPr>
            <w:r>
              <w:rPr>
                <w:rFonts w:hint="eastAsia" w:ascii="宋体" w:hAnsi="宋体" w:eastAsia="宋体" w:cs="宋体"/>
                <w:color w:val="000000"/>
                <w:sz w:val="21"/>
                <w:szCs w:val="24"/>
              </w:rPr>
              <w:t>跟岗实习</w:t>
            </w:r>
          </w:p>
        </w:tc>
        <w:tc>
          <w:tcPr>
            <w:tcW w:w="445"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color w:val="000000"/>
                <w:sz w:val="20"/>
                <w:szCs w:val="24"/>
              </w:rPr>
            </w:pPr>
            <w:r>
              <w:rPr>
                <w:rFonts w:hint="eastAsia" w:ascii="宋体" w:hAnsi="宋体" w:eastAsia="宋体" w:cs="宋体"/>
                <w:color w:val="000000"/>
                <w:kern w:val="0"/>
                <w:sz w:val="21"/>
                <w:szCs w:val="24"/>
              </w:rPr>
              <w:t>1</w:t>
            </w:r>
            <w:r>
              <w:rPr>
                <w:rFonts w:ascii="宋体" w:hAnsi="宋体" w:eastAsia="宋体" w:cs="宋体"/>
                <w:color w:val="000000"/>
                <w:kern w:val="0"/>
                <w:sz w:val="21"/>
                <w:szCs w:val="24"/>
              </w:rPr>
              <w:t>44</w:t>
            </w: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5.4%</w:t>
            </w:r>
          </w:p>
        </w:tc>
        <w:tc>
          <w:tcPr>
            <w:tcW w:w="519" w:type="pct"/>
            <w:vAlign w:val="center"/>
          </w:tcPr>
          <w:p>
            <w:pPr>
              <w:keepNext w:val="0"/>
              <w:keepLines w:val="0"/>
              <w:widowControl/>
              <w:suppressLineNumbers w:val="0"/>
              <w:spacing w:before="0" w:beforeAutospacing="0" w:after="0" w:afterAutospacing="0"/>
              <w:ind w:left="0" w:right="0"/>
              <w:jc w:val="center"/>
              <w:textAlignment w:val="baseline"/>
              <w:rPr>
                <w:rFonts w:ascii="宋体" w:eastAsia="宋体" w:cs="宋体"/>
                <w:color w:val="000000"/>
                <w:kern w:val="0"/>
                <w:sz w:val="20"/>
                <w:szCs w:val="24"/>
              </w:rPr>
            </w:pPr>
            <w:r>
              <w:rPr>
                <w:rFonts w:ascii="宋体" w:eastAsia="宋体" w:cs="宋体"/>
                <w:color w:val="000000"/>
                <w:sz w:val="21"/>
                <w:szCs w:val="24"/>
              </w:rPr>
              <w:t>8</w:t>
            </w:r>
          </w:p>
        </w:tc>
        <w:tc>
          <w:tcPr>
            <w:tcW w:w="519" w:type="pct"/>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5.5%</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color w:val="000000"/>
                <w:sz w:val="20"/>
                <w:szCs w:val="24"/>
              </w:rPr>
            </w:pPr>
            <w:r>
              <w:rPr>
                <w:rFonts w:ascii="宋体" w:eastAsia="宋体" w:cs="宋体"/>
                <w:color w:val="000000"/>
                <w:sz w:val="21"/>
                <w:szCs w:val="24"/>
              </w:rPr>
              <w:t>72</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126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顶岗实习</w:t>
            </w:r>
          </w:p>
        </w:tc>
        <w:tc>
          <w:tcPr>
            <w:tcW w:w="445" w:type="pct"/>
            <w:vAlign w:val="center"/>
          </w:tcPr>
          <w:p>
            <w:pPr>
              <w:keepNext w:val="0"/>
              <w:keepLines w:val="0"/>
              <w:widowControl/>
              <w:suppressLineNumbers w:val="0"/>
              <w:spacing w:before="0" w:beforeAutospacing="0" w:after="0" w:afterAutospacing="0"/>
              <w:ind w:left="0" w:right="0"/>
              <w:jc w:val="center"/>
              <w:textAlignment w:val="baseline"/>
              <w:rPr>
                <w:rFonts w:ascii="宋体" w:eastAsia="宋体"/>
                <w:kern w:val="0"/>
                <w:sz w:val="21"/>
                <w:szCs w:val="24"/>
              </w:rPr>
            </w:pPr>
            <w:r>
              <w:rPr>
                <w:rFonts w:ascii="宋体" w:hAnsi="宋体" w:eastAsia="宋体" w:cs="宋体"/>
                <w:sz w:val="21"/>
                <w:szCs w:val="24"/>
              </w:rPr>
              <w:t>432</w:t>
            </w: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16.2%</w:t>
            </w:r>
          </w:p>
        </w:tc>
        <w:tc>
          <w:tcPr>
            <w:tcW w:w="519"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hAnsi="宋体" w:eastAsia="宋体" w:cs="宋体"/>
                <w:sz w:val="21"/>
                <w:szCs w:val="24"/>
              </w:rPr>
              <w:t>24</w:t>
            </w:r>
          </w:p>
        </w:tc>
        <w:tc>
          <w:tcPr>
            <w:tcW w:w="519" w:type="pct"/>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16.4%</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hint="eastAsia" w:ascii="宋体" w:eastAsia="宋体" w:cs="宋体"/>
                <w:sz w:val="20"/>
                <w:szCs w:val="24"/>
              </w:rPr>
              <w:t>0</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hAnsi="宋体" w:eastAsia="宋体" w:cs="宋体"/>
                <w:sz w:val="21"/>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75" w:type="pct"/>
            <w:vMerge w:val="continue"/>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p>
        </w:tc>
        <w:tc>
          <w:tcPr>
            <w:tcW w:w="126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毕业实习报告</w:t>
            </w:r>
          </w:p>
        </w:tc>
        <w:tc>
          <w:tcPr>
            <w:tcW w:w="445" w:type="pct"/>
            <w:vAlign w:val="center"/>
          </w:tcPr>
          <w:p>
            <w:pPr>
              <w:keepNext w:val="0"/>
              <w:keepLines w:val="0"/>
              <w:widowControl/>
              <w:suppressLineNumbers w:val="0"/>
              <w:spacing w:before="0" w:beforeAutospacing="0" w:after="0" w:afterAutospacing="0"/>
              <w:ind w:left="0" w:right="0"/>
              <w:jc w:val="center"/>
              <w:textAlignment w:val="baseline"/>
              <w:rPr>
                <w:rFonts w:ascii="宋体" w:eastAsia="宋体"/>
                <w:kern w:val="0"/>
                <w:sz w:val="18"/>
                <w:szCs w:val="18"/>
              </w:rPr>
            </w:pPr>
            <w:r>
              <w:rPr>
                <w:rFonts w:ascii="宋体" w:hAnsi="宋体" w:eastAsia="宋体" w:cs="宋体"/>
                <w:sz w:val="21"/>
                <w:szCs w:val="24"/>
              </w:rPr>
              <w:t>60</w:t>
            </w: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2.3%</w:t>
            </w:r>
          </w:p>
        </w:tc>
        <w:tc>
          <w:tcPr>
            <w:tcW w:w="519" w:type="pct"/>
            <w:vAlign w:val="center"/>
          </w:tcPr>
          <w:p>
            <w:pPr>
              <w:keepNext w:val="0"/>
              <w:keepLines w:val="0"/>
              <w:widowControl/>
              <w:suppressLineNumbers w:val="0"/>
              <w:spacing w:before="0" w:beforeAutospacing="0" w:after="0" w:afterAutospacing="0"/>
              <w:ind w:left="0" w:right="0"/>
              <w:jc w:val="center"/>
              <w:textAlignment w:val="baseline"/>
              <w:rPr>
                <w:rFonts w:ascii="宋体" w:eastAsia="宋体"/>
                <w:kern w:val="0"/>
                <w:sz w:val="18"/>
                <w:szCs w:val="18"/>
              </w:rPr>
            </w:pPr>
            <w:r>
              <w:rPr>
                <w:rFonts w:ascii="宋体" w:hAnsi="宋体" w:eastAsia="宋体" w:cs="宋体"/>
                <w:sz w:val="21"/>
                <w:szCs w:val="24"/>
              </w:rPr>
              <w:t>4</w:t>
            </w:r>
          </w:p>
        </w:tc>
        <w:tc>
          <w:tcPr>
            <w:tcW w:w="519" w:type="pct"/>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2.7%</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hAnsi="宋体" w:eastAsia="宋体" w:cs="宋体"/>
                <w:sz w:val="21"/>
                <w:szCs w:val="24"/>
              </w:rPr>
              <w:t>60</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eastAsia="宋体"/>
                <w:sz w:val="20"/>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735" w:type="pct"/>
            <w:gridSpan w:val="2"/>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sz w:val="20"/>
                <w:szCs w:val="24"/>
              </w:rPr>
            </w:pPr>
            <w:r>
              <w:rPr>
                <w:rFonts w:hint="eastAsia" w:ascii="宋体" w:hAnsi="宋体" w:eastAsia="宋体" w:cs="宋体"/>
                <w:sz w:val="21"/>
                <w:szCs w:val="24"/>
              </w:rPr>
              <w:t>总计</w:t>
            </w:r>
          </w:p>
        </w:tc>
        <w:tc>
          <w:tcPr>
            <w:tcW w:w="445"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2666</w:t>
            </w:r>
          </w:p>
        </w:tc>
        <w:tc>
          <w:tcPr>
            <w:tcW w:w="520"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ascii="宋体" w:eastAsia="宋体" w:cs="宋体"/>
                <w:sz w:val="21"/>
                <w:szCs w:val="24"/>
              </w:rPr>
              <w:t>100%</w:t>
            </w:r>
          </w:p>
        </w:tc>
        <w:tc>
          <w:tcPr>
            <w:tcW w:w="519"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hint="eastAsia" w:ascii="宋体" w:eastAsia="宋体" w:cs="宋体"/>
                <w:sz w:val="20"/>
                <w:szCs w:val="24"/>
              </w:rPr>
              <w:t>14</w:t>
            </w:r>
            <w:r>
              <w:rPr>
                <w:rFonts w:ascii="宋体" w:eastAsia="宋体" w:cs="宋体"/>
                <w:sz w:val="20"/>
                <w:szCs w:val="24"/>
              </w:rPr>
              <w:t>6</w:t>
            </w:r>
          </w:p>
        </w:tc>
        <w:tc>
          <w:tcPr>
            <w:tcW w:w="519" w:type="pct"/>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hint="eastAsia" w:ascii="宋体" w:eastAsia="宋体" w:cs="宋体"/>
                <w:sz w:val="20"/>
                <w:szCs w:val="24"/>
              </w:rPr>
              <w:t>100</w:t>
            </w:r>
            <w:r>
              <w:rPr>
                <w:rFonts w:ascii="宋体" w:eastAsia="宋体" w:cs="宋体"/>
                <w:sz w:val="20"/>
                <w:szCs w:val="24"/>
              </w:rPr>
              <w:t>%</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hint="eastAsia" w:ascii="宋体" w:eastAsia="宋体" w:cs="宋体"/>
                <w:sz w:val="20"/>
                <w:szCs w:val="24"/>
              </w:rPr>
              <w:t>13</w:t>
            </w:r>
            <w:r>
              <w:rPr>
                <w:rFonts w:ascii="宋体" w:eastAsia="宋体" w:cs="宋体"/>
                <w:sz w:val="20"/>
                <w:szCs w:val="24"/>
              </w:rPr>
              <w:t>34</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0"/>
                <w:szCs w:val="24"/>
              </w:rPr>
            </w:pPr>
            <w:r>
              <w:rPr>
                <w:rFonts w:hint="eastAsia" w:ascii="宋体" w:eastAsia="宋体" w:cs="宋体"/>
                <w:sz w:val="20"/>
                <w:szCs w:val="24"/>
              </w:rPr>
              <w:t>1</w:t>
            </w:r>
            <w:r>
              <w:rPr>
                <w:rFonts w:ascii="宋体" w:eastAsia="宋体" w:cs="宋体"/>
                <w:sz w:val="20"/>
                <w:szCs w:val="24"/>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738" w:type="pct"/>
            <w:gridSpan w:val="6"/>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实践实训课时</w:t>
            </w:r>
            <w:r>
              <w:rPr>
                <w:rFonts w:ascii="宋体" w:eastAsia="宋体" w:cs="宋体"/>
                <w:sz w:val="21"/>
                <w:szCs w:val="24"/>
              </w:rPr>
              <w:t>占</w:t>
            </w:r>
            <w:r>
              <w:rPr>
                <w:rFonts w:hint="eastAsia" w:ascii="宋体" w:eastAsia="宋体" w:cs="宋体"/>
                <w:sz w:val="21"/>
                <w:szCs w:val="24"/>
              </w:rPr>
              <w:t>课堂教学学时的比例</w:t>
            </w:r>
          </w:p>
        </w:tc>
        <w:tc>
          <w:tcPr>
            <w:tcW w:w="594"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ascii="宋体" w:eastAsia="宋体" w:cs="宋体"/>
                <w:sz w:val="21"/>
                <w:szCs w:val="24"/>
              </w:rPr>
              <w:t>50%</w:t>
            </w:r>
          </w:p>
        </w:tc>
        <w:tc>
          <w:tcPr>
            <w:tcW w:w="668" w:type="pct"/>
            <w:vAlign w:val="center"/>
          </w:tcPr>
          <w:p>
            <w:pPr>
              <w:keepNext w:val="0"/>
              <w:keepLines w:val="0"/>
              <w:suppressLineNumbers w:val="0"/>
              <w:spacing w:before="0" w:beforeAutospacing="0" w:after="0" w:afterAutospacing="0" w:line="360" w:lineRule="auto"/>
              <w:ind w:left="0" w:right="0"/>
              <w:jc w:val="center"/>
              <w:textAlignment w:val="baseline"/>
              <w:rPr>
                <w:rFonts w:ascii="宋体" w:eastAsia="宋体" w:cs="宋体"/>
                <w:sz w:val="21"/>
                <w:szCs w:val="24"/>
              </w:rPr>
            </w:pPr>
            <w:r>
              <w:rPr>
                <w:rFonts w:hint="eastAsia" w:ascii="宋体" w:eastAsia="宋体" w:cs="宋体"/>
                <w:sz w:val="21"/>
                <w:szCs w:val="24"/>
              </w:rPr>
              <w:t>5</w:t>
            </w:r>
            <w:r>
              <w:rPr>
                <w:rFonts w:ascii="宋体" w:eastAsia="宋体" w:cs="宋体"/>
                <w:sz w:val="21"/>
                <w:szCs w:val="24"/>
              </w:rPr>
              <w:t>0%</w:t>
            </w:r>
          </w:p>
        </w:tc>
      </w:tr>
    </w:tbl>
    <w:p>
      <w:pPr>
        <w:spacing w:line="360" w:lineRule="auto"/>
        <w:rPr>
          <w:rFonts w:ascii="宋体" w:hAnsi="宋体" w:eastAsia="宋体"/>
          <w:sz w:val="21"/>
          <w:szCs w:val="24"/>
        </w:rPr>
      </w:pPr>
    </w:p>
    <w:p>
      <w:pPr>
        <w:spacing w:line="360" w:lineRule="auto"/>
        <w:ind w:firstLine="420" w:firstLineChars="200"/>
        <w:jc w:val="center"/>
        <w:rPr>
          <w:rFonts w:ascii="宋体" w:hAnsi="宋体" w:eastAsia="宋体"/>
          <w:sz w:val="21"/>
          <w:szCs w:val="24"/>
        </w:rPr>
      </w:pPr>
      <w:r>
        <w:rPr>
          <w:rFonts w:hint="eastAsia" w:ascii="宋体" w:hAnsi="宋体" w:eastAsia="宋体"/>
          <w:sz w:val="21"/>
          <w:szCs w:val="24"/>
        </w:rPr>
        <w:t>表</w:t>
      </w:r>
      <w:r>
        <w:rPr>
          <w:rFonts w:ascii="宋体" w:hAnsi="宋体" w:eastAsia="宋体"/>
          <w:sz w:val="21"/>
          <w:szCs w:val="24"/>
        </w:rPr>
        <w:t xml:space="preserve">6 </w:t>
      </w:r>
      <w:r>
        <w:rPr>
          <w:rFonts w:hint="eastAsia" w:ascii="宋体" w:hAnsi="宋体" w:eastAsia="宋体"/>
          <w:sz w:val="21"/>
          <w:szCs w:val="24"/>
        </w:rPr>
        <w:t>教学进程表</w:t>
      </w:r>
    </w:p>
    <w:tbl>
      <w:tblPr>
        <w:tblStyle w:val="15"/>
        <w:tblW w:w="9298" w:type="dxa"/>
        <w:jc w:val="center"/>
        <w:tblLayout w:type="fixed"/>
        <w:tblCellMar>
          <w:top w:w="0" w:type="dxa"/>
          <w:left w:w="108" w:type="dxa"/>
          <w:bottom w:w="0" w:type="dxa"/>
          <w:right w:w="108" w:type="dxa"/>
        </w:tblCellMar>
      </w:tblPr>
      <w:tblGrid>
        <w:gridCol w:w="421"/>
        <w:gridCol w:w="421"/>
        <w:gridCol w:w="1280"/>
        <w:gridCol w:w="1559"/>
        <w:gridCol w:w="709"/>
        <w:gridCol w:w="659"/>
        <w:gridCol w:w="671"/>
        <w:gridCol w:w="448"/>
        <w:gridCol w:w="462"/>
        <w:gridCol w:w="453"/>
        <w:gridCol w:w="567"/>
        <w:gridCol w:w="567"/>
        <w:gridCol w:w="567"/>
        <w:gridCol w:w="506"/>
        <w:gridCol w:w="8"/>
      </w:tblGrid>
      <w:tr>
        <w:tblPrEx>
          <w:tblCellMar>
            <w:top w:w="0" w:type="dxa"/>
            <w:left w:w="108" w:type="dxa"/>
            <w:bottom w:w="0" w:type="dxa"/>
            <w:right w:w="108" w:type="dxa"/>
          </w:tblCellMar>
        </w:tblPrEx>
        <w:trPr>
          <w:trHeight w:val="390" w:hRule="atLeast"/>
          <w:jc w:val="center"/>
        </w:trPr>
        <w:tc>
          <w:tcPr>
            <w:tcW w:w="84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课程类型</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课程代码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课程名称</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学分</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学时数</w:t>
            </w:r>
          </w:p>
        </w:tc>
        <w:tc>
          <w:tcPr>
            <w:tcW w:w="30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各学期授课周数与周学时</w:t>
            </w:r>
          </w:p>
        </w:tc>
        <w:tc>
          <w:tcPr>
            <w:tcW w:w="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备注</w:t>
            </w:r>
          </w:p>
        </w:tc>
      </w:tr>
      <w:tr>
        <w:tblPrEx>
          <w:tblCellMar>
            <w:top w:w="0" w:type="dxa"/>
            <w:left w:w="108" w:type="dxa"/>
            <w:bottom w:w="0" w:type="dxa"/>
            <w:right w:w="108" w:type="dxa"/>
          </w:tblCellMar>
        </w:tblPrEx>
        <w:trPr>
          <w:trHeight w:val="285" w:hRule="atLeast"/>
          <w:jc w:val="center"/>
        </w:trPr>
        <w:tc>
          <w:tcPr>
            <w:tcW w:w="842"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559"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659"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总计</w:t>
            </w:r>
          </w:p>
        </w:tc>
        <w:tc>
          <w:tcPr>
            <w:tcW w:w="671"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实践</w:t>
            </w: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一</w:t>
            </w: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二</w:t>
            </w: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三</w:t>
            </w: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四</w:t>
            </w: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五</w:t>
            </w: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六</w:t>
            </w:r>
          </w:p>
        </w:tc>
        <w:tc>
          <w:tcPr>
            <w:tcW w:w="51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375" w:hRule="atLeast"/>
          <w:jc w:val="center"/>
        </w:trPr>
        <w:tc>
          <w:tcPr>
            <w:tcW w:w="842"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559"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659"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671"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20周</w:t>
            </w: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20周</w:t>
            </w: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20周</w:t>
            </w: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20周</w:t>
            </w: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20周</w:t>
            </w: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20周</w:t>
            </w:r>
          </w:p>
        </w:tc>
        <w:tc>
          <w:tcPr>
            <w:tcW w:w="51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406" w:hRule="atLeast"/>
          <w:jc w:val="center"/>
        </w:trPr>
        <w:tc>
          <w:tcPr>
            <w:tcW w:w="842" w:type="dxa"/>
            <w:gridSpan w:val="2"/>
            <w:vMerge w:val="restart"/>
            <w:tcBorders>
              <w:top w:val="single" w:color="auto" w:sz="4" w:space="0"/>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公共基础课</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2141</w:t>
            </w:r>
            <w:r>
              <w:rPr>
                <w:rFonts w:eastAsia="宋体"/>
                <w:sz w:val="21"/>
                <w:szCs w:val="24"/>
              </w:rPr>
              <w:t>10011</w:t>
            </w: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w:t>
            </w:r>
          </w:p>
        </w:tc>
        <w:tc>
          <w:tcPr>
            <w:tcW w:w="6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54</w:t>
            </w:r>
          </w:p>
        </w:tc>
        <w:tc>
          <w:tcPr>
            <w:tcW w:w="67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0</w:t>
            </w:r>
          </w:p>
        </w:tc>
        <w:tc>
          <w:tcPr>
            <w:tcW w:w="44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w:t>
            </w:r>
          </w:p>
        </w:tc>
        <w:tc>
          <w:tcPr>
            <w:tcW w:w="4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470"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w:t>
            </w:r>
            <w:r>
              <w:rPr>
                <w:rFonts w:eastAsia="宋体"/>
                <w:sz w:val="21"/>
                <w:szCs w:val="24"/>
              </w:rPr>
              <w:t>4110021</w:t>
            </w:r>
          </w:p>
        </w:tc>
        <w:tc>
          <w:tcPr>
            <w:tcW w:w="155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vMerge w:val="restart"/>
            <w:tcBorders>
              <w:top w:val="nil"/>
              <w:left w:val="nil"/>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90</w:t>
            </w:r>
          </w:p>
        </w:tc>
        <w:tc>
          <w:tcPr>
            <w:tcW w:w="671" w:type="dxa"/>
            <w:vMerge w:val="restart"/>
            <w:tcBorders>
              <w:top w:val="nil"/>
              <w:left w:val="nil"/>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0</w:t>
            </w:r>
          </w:p>
        </w:tc>
        <w:tc>
          <w:tcPr>
            <w:tcW w:w="448" w:type="dxa"/>
            <w:vMerge w:val="restart"/>
            <w:tcBorders>
              <w:top w:val="nil"/>
              <w:left w:val="nil"/>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vMerge w:val="restart"/>
            <w:tcBorders>
              <w:top w:val="nil"/>
              <w:left w:val="nil"/>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5</w:t>
            </w:r>
          </w:p>
        </w:tc>
        <w:tc>
          <w:tcPr>
            <w:tcW w:w="453" w:type="dxa"/>
            <w:vMerge w:val="restart"/>
            <w:tcBorders>
              <w:top w:val="nil"/>
              <w:left w:val="nil"/>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vMerge w:val="restart"/>
            <w:tcBorders>
              <w:top w:val="nil"/>
              <w:left w:val="nil"/>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vMerge w:val="restart"/>
            <w:tcBorders>
              <w:top w:val="nil"/>
              <w:left w:val="nil"/>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vMerge w:val="restart"/>
            <w:tcBorders>
              <w:top w:val="nil"/>
              <w:left w:val="nil"/>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vMerge w:val="restart"/>
            <w:tcBorders>
              <w:top w:val="nil"/>
              <w:left w:val="nil"/>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470"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214110300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习近平新时代中国特色社会主义概论</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w:t>
            </w:r>
          </w:p>
        </w:tc>
        <w:tc>
          <w:tcPr>
            <w:tcW w:w="659"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671"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vMerge w:val="continue"/>
            <w:tcBorders>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vMerge w:val="continue"/>
            <w:tcBorders>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214090030</w:t>
            </w: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形势与政策</w:t>
            </w:r>
          </w:p>
        </w:tc>
        <w:tc>
          <w:tcPr>
            <w:tcW w:w="7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w:t>
            </w:r>
          </w:p>
        </w:tc>
        <w:tc>
          <w:tcPr>
            <w:tcW w:w="6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32</w:t>
            </w:r>
          </w:p>
        </w:tc>
        <w:tc>
          <w:tcPr>
            <w:tcW w:w="67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0</w:t>
            </w:r>
          </w:p>
        </w:tc>
        <w:tc>
          <w:tcPr>
            <w:tcW w:w="1930"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第</w:t>
            </w:r>
            <w:r>
              <w:rPr>
                <w:rFonts w:eastAsia="宋体"/>
                <w:sz w:val="21"/>
                <w:szCs w:val="24"/>
              </w:rPr>
              <w:t>1</w:t>
            </w:r>
            <w:r>
              <w:rPr>
                <w:rFonts w:hint="eastAsia" w:eastAsia="宋体"/>
                <w:sz w:val="21"/>
                <w:szCs w:val="24"/>
              </w:rPr>
              <w:t>至4学期开设</w:t>
            </w: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eastAsia="宋体"/>
                <w:sz w:val="18"/>
                <w:szCs w:val="18"/>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214130021</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军事理论、训练及入学教育</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4</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148</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112</w:t>
            </w: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w:t>
            </w:r>
            <w:r>
              <w:rPr>
                <w:rFonts w:hint="eastAsia" w:eastAsia="宋体"/>
                <w:sz w:val="21"/>
                <w:szCs w:val="24"/>
              </w:rPr>
              <w:t>周</w:t>
            </w: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215090060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信息技术</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18</w:t>
            </w: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270"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211090012</w:t>
            </w:r>
          </w:p>
        </w:tc>
        <w:tc>
          <w:tcPr>
            <w:tcW w:w="1559" w:type="dxa"/>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基础英语</w:t>
            </w:r>
            <w:r>
              <w:rPr>
                <w:rFonts w:eastAsia="宋体"/>
                <w:sz w:val="21"/>
                <w:szCs w:val="24"/>
              </w:rPr>
              <w:t>1</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w:t>
            </w:r>
            <w:r>
              <w:rPr>
                <w:rFonts w:eastAsia="宋体"/>
                <w:sz w:val="21"/>
                <w:szCs w:val="24"/>
              </w:rPr>
              <w:t>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w:t>
            </w:r>
            <w:r>
              <w:rPr>
                <w:rFonts w:eastAsia="宋体"/>
                <w:sz w:val="21"/>
                <w:szCs w:val="24"/>
              </w:rPr>
              <w:t>8</w:t>
            </w: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211090011</w:t>
            </w:r>
          </w:p>
        </w:tc>
        <w:tc>
          <w:tcPr>
            <w:tcW w:w="1559" w:type="dxa"/>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基础英语</w:t>
            </w:r>
            <w:r>
              <w:rPr>
                <w:rFonts w:eastAsia="宋体"/>
                <w:sz w:val="21"/>
                <w:szCs w:val="24"/>
              </w:rPr>
              <w:t>2</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72</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w:t>
            </w: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201090010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公共体育</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w:t>
            </w:r>
            <w:r>
              <w:rPr>
                <w:rFonts w:eastAsia="宋体"/>
                <w:sz w:val="21"/>
                <w:szCs w:val="24"/>
              </w:rPr>
              <w:t>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28</w:t>
            </w: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eastAsia="宋体"/>
                <w:sz w:val="21"/>
                <w:szCs w:val="24"/>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201090030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体育选项课1</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32</w:t>
            </w: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201090031</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体育选项课2</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32</w:t>
            </w: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212090040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体能测试</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eastAsia="宋体"/>
                <w:sz w:val="18"/>
                <w:szCs w:val="18"/>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212090030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礼仪修养</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222090010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写作</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222090020</w:t>
            </w:r>
          </w:p>
        </w:tc>
        <w:tc>
          <w:tcPr>
            <w:tcW w:w="1559"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中华优秀传统文化（双语）</w:t>
            </w:r>
          </w:p>
        </w:tc>
        <w:tc>
          <w:tcPr>
            <w:tcW w:w="709"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4</w:t>
            </w:r>
          </w:p>
        </w:tc>
        <w:tc>
          <w:tcPr>
            <w:tcW w:w="659"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72</w:t>
            </w:r>
          </w:p>
        </w:tc>
        <w:tc>
          <w:tcPr>
            <w:tcW w:w="671"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4</w:t>
            </w:r>
          </w:p>
        </w:tc>
        <w:tc>
          <w:tcPr>
            <w:tcW w:w="462"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highlight w:val="yellow"/>
              </w:rPr>
            </w:pPr>
          </w:p>
        </w:tc>
        <w:tc>
          <w:tcPr>
            <w:tcW w:w="453"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highlight w:val="yellow"/>
              </w:rPr>
            </w:pPr>
          </w:p>
        </w:tc>
        <w:tc>
          <w:tcPr>
            <w:tcW w:w="567"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highlight w:val="yellow"/>
              </w:rPr>
            </w:pPr>
          </w:p>
        </w:tc>
        <w:tc>
          <w:tcPr>
            <w:tcW w:w="567"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highlight w:val="yellow"/>
              </w:rPr>
            </w:pPr>
          </w:p>
        </w:tc>
        <w:tc>
          <w:tcPr>
            <w:tcW w:w="567" w:type="dxa"/>
            <w:tcBorders>
              <w:top w:val="nil"/>
              <w:left w:val="nil"/>
              <w:bottom w:val="single" w:color="auto" w:sz="4" w:space="0"/>
              <w:right w:val="single" w:color="auto" w:sz="4" w:space="0"/>
            </w:tcBorders>
            <w:shd w:val="clear" w:color="auto" w:fill="FFFF00"/>
            <w:vAlign w:val="center"/>
          </w:tcPr>
          <w:p>
            <w:pPr>
              <w:keepNext w:val="0"/>
              <w:keepLines w:val="0"/>
              <w:suppressLineNumbers w:val="0"/>
              <w:spacing w:before="0" w:beforeAutospacing="0" w:after="0" w:afterAutospacing="0"/>
              <w:ind w:left="0" w:right="0"/>
              <w:jc w:val="center"/>
              <w:rPr>
                <w:rFonts w:eastAsia="宋体"/>
                <w:sz w:val="21"/>
                <w:szCs w:val="24"/>
                <w:highlight w:val="yellow"/>
              </w:rPr>
            </w:pPr>
          </w:p>
        </w:tc>
        <w:tc>
          <w:tcPr>
            <w:tcW w:w="514" w:type="dxa"/>
            <w:gridSpan w:val="2"/>
            <w:tcBorders>
              <w:top w:val="nil"/>
              <w:left w:val="nil"/>
              <w:bottom w:val="single" w:color="auto" w:sz="4" w:space="0"/>
              <w:right w:val="single" w:color="auto" w:sz="4" w:space="0"/>
            </w:tcBorders>
            <w:shd w:val="clear" w:color="auto" w:fill="FFFF00"/>
            <w:vAlign w:val="center"/>
          </w:tcPr>
          <w:p>
            <w:pPr>
              <w:keepNext w:val="0"/>
              <w:keepLines w:val="0"/>
              <w:widowControl/>
              <w:suppressLineNumbers w:val="0"/>
              <w:spacing w:before="0" w:beforeAutospacing="0" w:after="0" w:afterAutospacing="0"/>
              <w:ind w:left="0" w:right="0"/>
              <w:jc w:val="center"/>
              <w:textAlignment w:val="bottom"/>
              <w:rPr>
                <w:rFonts w:ascii="宋体" w:hAnsi="宋体" w:eastAsia="宋体" w:cs="宋体"/>
                <w:color w:val="000000"/>
                <w:kern w:val="0"/>
                <w:sz w:val="20"/>
                <w:szCs w:val="20"/>
                <w:highlight w:val="yellow"/>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221090010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安全教育</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18</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210090010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职业道德</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18</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204090011</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心理健康教育</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w:t>
            </w:r>
            <w:r>
              <w:rPr>
                <w:rFonts w:eastAsia="宋体"/>
                <w:sz w:val="21"/>
                <w:szCs w:val="24"/>
              </w:rPr>
              <w:t>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205090010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职业发展与就业指导</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ascii="宋体" w:hAnsi="宋体" w:eastAsia="宋体" w:cs="宋体"/>
                <w:kern w:val="0"/>
                <w:sz w:val="18"/>
                <w:szCs w:val="18"/>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205090020</w:t>
            </w:r>
          </w:p>
        </w:tc>
        <w:tc>
          <w:tcPr>
            <w:tcW w:w="15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创新创业教育</w:t>
            </w:r>
          </w:p>
        </w:tc>
        <w:tc>
          <w:tcPr>
            <w:tcW w:w="7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w:t>
            </w:r>
          </w:p>
        </w:tc>
        <w:tc>
          <w:tcPr>
            <w:tcW w:w="65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16</w:t>
            </w:r>
          </w:p>
        </w:tc>
        <w:tc>
          <w:tcPr>
            <w:tcW w:w="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6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ascii="宋体" w:hAnsi="宋体" w:eastAsia="宋体" w:cs="宋体"/>
                <w:kern w:val="0"/>
                <w:sz w:val="18"/>
                <w:szCs w:val="18"/>
              </w:rPr>
            </w:pPr>
          </w:p>
        </w:tc>
      </w:tr>
      <w:tr>
        <w:tblPrEx>
          <w:tblCellMar>
            <w:top w:w="0" w:type="dxa"/>
            <w:left w:w="108" w:type="dxa"/>
            <w:bottom w:w="0" w:type="dxa"/>
            <w:right w:w="108" w:type="dxa"/>
          </w:tblCellMar>
        </w:tblPrEx>
        <w:trPr>
          <w:trHeight w:val="330" w:hRule="atLeast"/>
          <w:jc w:val="center"/>
        </w:trPr>
        <w:tc>
          <w:tcPr>
            <w:tcW w:w="842" w:type="dxa"/>
            <w:gridSpan w:val="2"/>
            <w:vMerge w:val="continue"/>
            <w:tcBorders>
              <w:left w:val="single" w:color="auto"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1280" w:type="dxa"/>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204090020</w:t>
            </w:r>
          </w:p>
        </w:tc>
        <w:tc>
          <w:tcPr>
            <w:tcW w:w="1559" w:type="dxa"/>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劳动教育</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w:t>
            </w:r>
          </w:p>
        </w:tc>
        <w:tc>
          <w:tcPr>
            <w:tcW w:w="65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24</w:t>
            </w:r>
          </w:p>
        </w:tc>
        <w:tc>
          <w:tcPr>
            <w:tcW w:w="67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20</w:t>
            </w:r>
          </w:p>
        </w:tc>
        <w:tc>
          <w:tcPr>
            <w:tcW w:w="306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劳动周</w:t>
            </w:r>
          </w:p>
        </w:tc>
        <w:tc>
          <w:tcPr>
            <w:tcW w:w="514" w:type="dxa"/>
            <w:gridSpan w:val="2"/>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18"/>
                <w:szCs w:val="18"/>
              </w:rPr>
            </w:pPr>
          </w:p>
        </w:tc>
      </w:tr>
      <w:tr>
        <w:tblPrEx>
          <w:tblCellMar>
            <w:top w:w="0" w:type="dxa"/>
            <w:left w:w="108" w:type="dxa"/>
            <w:bottom w:w="0" w:type="dxa"/>
            <w:right w:w="108" w:type="dxa"/>
          </w:tblCellMar>
        </w:tblPrEx>
        <w:trPr>
          <w:trHeight w:val="285" w:hRule="atLeast"/>
          <w:jc w:val="center"/>
        </w:trPr>
        <w:tc>
          <w:tcPr>
            <w:tcW w:w="842" w:type="dxa"/>
            <w:gridSpan w:val="2"/>
            <w:vMerge w:val="continue"/>
            <w:tcBorders>
              <w:left w:val="single" w:color="auto" w:sz="4" w:space="0"/>
              <w:bottom w:val="single" w:color="000000" w:sz="4" w:space="0"/>
              <w:right w:val="nil"/>
            </w:tcBorders>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283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小计</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39</w:t>
            </w:r>
          </w:p>
        </w:tc>
        <w:tc>
          <w:tcPr>
            <w:tcW w:w="65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8</w:t>
            </w:r>
            <w:r>
              <w:rPr>
                <w:rFonts w:eastAsia="宋体"/>
                <w:sz w:val="21"/>
                <w:szCs w:val="24"/>
              </w:rPr>
              <w:t>22</w:t>
            </w:r>
          </w:p>
        </w:tc>
        <w:tc>
          <w:tcPr>
            <w:tcW w:w="67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276</w:t>
            </w:r>
          </w:p>
        </w:tc>
        <w:tc>
          <w:tcPr>
            <w:tcW w:w="44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17</w:t>
            </w:r>
          </w:p>
        </w:tc>
        <w:tc>
          <w:tcPr>
            <w:tcW w:w="46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14" w:type="dxa"/>
            <w:gridSpan w:val="2"/>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416" w:hRule="atLeast"/>
          <w:jc w:val="center"/>
        </w:trPr>
        <w:tc>
          <w:tcPr>
            <w:tcW w:w="842" w:type="dxa"/>
            <w:gridSpan w:val="2"/>
            <w:vMerge w:val="restart"/>
            <w:tcBorders>
              <w:top w:val="single" w:color="auto" w:sz="4" w:space="0"/>
              <w:left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textAlignment w:val="baseline"/>
              <w:rPr>
                <w:rFonts w:ascii="宋体" w:eastAsia="宋体"/>
                <w:color w:val="000000"/>
                <w:kern w:val="0"/>
                <w:sz w:val="18"/>
                <w:szCs w:val="18"/>
              </w:rPr>
            </w:pPr>
            <w:r>
              <w:rPr>
                <w:rFonts w:hint="eastAsia" w:ascii="宋体" w:hAnsi="宋体" w:eastAsia="宋体" w:cs="宋体"/>
                <w:color w:val="000000"/>
                <w:kern w:val="0"/>
                <w:sz w:val="18"/>
                <w:szCs w:val="18"/>
              </w:rPr>
              <w:t>公共选修课</w:t>
            </w:r>
          </w:p>
        </w:tc>
        <w:tc>
          <w:tcPr>
            <w:tcW w:w="1280" w:type="dxa"/>
            <w:tcBorders>
              <w:top w:val="single" w:color="auto" w:sz="4" w:space="0"/>
              <w:left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p>
        </w:tc>
        <w:tc>
          <w:tcPr>
            <w:tcW w:w="1559" w:type="dxa"/>
            <w:tcBorders>
              <w:top w:val="single" w:color="auto" w:sz="4" w:space="0"/>
              <w:left w:val="single" w:color="auto" w:sz="4" w:space="0"/>
              <w:bottom w:val="single" w:color="auto"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选修课</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eastAsia="宋体"/>
                <w:sz w:val="21"/>
                <w:szCs w:val="24"/>
              </w:rPr>
            </w:pPr>
            <w:r>
              <w:rPr>
                <w:rFonts w:eastAsia="宋体"/>
                <w:sz w:val="21"/>
                <w:szCs w:val="24"/>
              </w:rPr>
              <w:t>16</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eastAsia="宋体"/>
                <w:sz w:val="21"/>
                <w:szCs w:val="24"/>
              </w:rPr>
            </w:pPr>
            <w:r>
              <w:rPr>
                <w:rFonts w:eastAsia="宋体"/>
                <w:sz w:val="21"/>
                <w:szCs w:val="24"/>
              </w:rPr>
              <w:t>288</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eastAsia="宋体"/>
                <w:sz w:val="21"/>
                <w:szCs w:val="24"/>
              </w:rPr>
            </w:pPr>
            <w:r>
              <w:rPr>
                <w:rFonts w:hint="eastAsia" w:eastAsia="宋体"/>
                <w:sz w:val="21"/>
                <w:szCs w:val="24"/>
              </w:rPr>
              <w:t>96</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309" w:hRule="atLeast"/>
          <w:jc w:val="center"/>
        </w:trPr>
        <w:tc>
          <w:tcPr>
            <w:tcW w:w="842" w:type="dxa"/>
            <w:gridSpan w:val="2"/>
            <w:vMerge w:val="continue"/>
            <w:tcBorders>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textAlignment w:val="baseline"/>
              <w:rPr>
                <w:rFonts w:ascii="宋体" w:eastAsia="宋体"/>
                <w:color w:val="000000"/>
                <w:kern w:val="0"/>
                <w:sz w:val="18"/>
                <w:szCs w:val="18"/>
              </w:rPr>
            </w:pPr>
          </w:p>
        </w:tc>
        <w:tc>
          <w:tcPr>
            <w:tcW w:w="283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1050" w:firstLineChars="500"/>
              <w:jc w:val="center"/>
              <w:rPr>
                <w:rFonts w:eastAsia="宋体"/>
                <w:sz w:val="21"/>
                <w:szCs w:val="24"/>
              </w:rPr>
            </w:pPr>
            <w:r>
              <w:rPr>
                <w:rFonts w:hint="eastAsia" w:eastAsia="宋体"/>
                <w:sz w:val="21"/>
                <w:szCs w:val="24"/>
              </w:rPr>
              <w:t>小计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16</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288</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96</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345" w:hRule="atLeast"/>
          <w:jc w:val="center"/>
        </w:trPr>
        <w:tc>
          <w:tcPr>
            <w:tcW w:w="842" w:type="dxa"/>
            <w:gridSpan w:val="2"/>
            <w:vMerge w:val="restart"/>
            <w:tcBorders>
              <w:top w:val="nil"/>
              <w:left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baseline"/>
              <w:rPr>
                <w:rFonts w:ascii="宋体" w:eastAsia="宋体"/>
                <w:color w:val="000000"/>
                <w:kern w:val="0"/>
                <w:sz w:val="18"/>
                <w:szCs w:val="18"/>
              </w:rPr>
            </w:pPr>
            <w:r>
              <w:rPr>
                <w:rFonts w:hint="eastAsia" w:ascii="宋体" w:hAnsi="宋体" w:eastAsia="宋体" w:cs="宋体"/>
                <w:color w:val="000000"/>
                <w:kern w:val="0"/>
                <w:sz w:val="18"/>
                <w:szCs w:val="18"/>
              </w:rPr>
              <w:t>专业基础课</w:t>
            </w: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211090020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旅游行业概论</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0</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842" w:type="dxa"/>
            <w:gridSpan w:val="2"/>
            <w:vMerge w:val="continue"/>
            <w:tcBorders>
              <w:left w:val="single" w:color="auto" w:sz="4" w:space="0"/>
              <w:right w:val="nil"/>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211110230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英语语音</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10</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842" w:type="dxa"/>
            <w:gridSpan w:val="2"/>
            <w:vMerge w:val="continue"/>
            <w:tcBorders>
              <w:left w:val="single" w:color="auto" w:sz="4" w:space="0"/>
              <w:right w:val="nil"/>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211110220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英语听说</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10</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180</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90</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4</w:t>
            </w: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842" w:type="dxa"/>
            <w:gridSpan w:val="2"/>
            <w:vMerge w:val="continue"/>
            <w:tcBorders>
              <w:left w:val="single" w:color="auto" w:sz="4" w:space="0"/>
              <w:right w:val="nil"/>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211110180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英语口语</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8</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144</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72</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842"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211110410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基础英语高阶</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72</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34</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842"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215120430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旅游信息编辑</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16</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842"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215110480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旅游电子商务</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3</w:t>
            </w:r>
            <w:r>
              <w:rPr>
                <w:rFonts w:eastAsia="宋体"/>
                <w:sz w:val="21"/>
                <w:szCs w:val="24"/>
              </w:rPr>
              <w:t>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w:t>
            </w:r>
            <w:r>
              <w:rPr>
                <w:rFonts w:eastAsia="宋体"/>
                <w:sz w:val="21"/>
                <w:szCs w:val="24"/>
              </w:rPr>
              <w:t>6</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842"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211110120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旅游接待英语</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16</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842"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1203158</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英语面试技巧</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16</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842" w:type="dxa"/>
            <w:gridSpan w:val="2"/>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小计</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34</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612</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270</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10</w:t>
            </w: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6</w:t>
            </w: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8</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w:t>
            </w:r>
            <w:r>
              <w:rPr>
                <w:rFonts w:hint="eastAsia" w:eastAsia="宋体"/>
                <w:sz w:val="21"/>
                <w:szCs w:val="24"/>
              </w:rPr>
              <w:t>0</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restart"/>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baseline"/>
              <w:rPr>
                <w:rFonts w:ascii="宋体" w:eastAsia="宋体"/>
                <w:color w:val="000000"/>
                <w:kern w:val="0"/>
                <w:sz w:val="18"/>
                <w:szCs w:val="18"/>
              </w:rPr>
            </w:pPr>
            <w:r>
              <w:rPr>
                <w:rFonts w:hint="eastAsia" w:ascii="宋体" w:eastAsia="宋体"/>
                <w:color w:val="000000"/>
                <w:kern w:val="0"/>
                <w:sz w:val="18"/>
                <w:szCs w:val="18"/>
              </w:rPr>
              <w:t>专业方向课</w:t>
            </w:r>
          </w:p>
        </w:tc>
        <w:tc>
          <w:tcPr>
            <w:tcW w:w="421" w:type="dxa"/>
            <w:vMerge w:val="restart"/>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r>
              <w:rPr>
                <w:rFonts w:hint="eastAsia" w:ascii="宋体" w:eastAsia="宋体"/>
                <w:color w:val="000000"/>
                <w:kern w:val="0"/>
                <w:sz w:val="18"/>
                <w:szCs w:val="18"/>
              </w:rPr>
              <w:t>酒店管理方向</w:t>
            </w:r>
          </w:p>
        </w:tc>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211120100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酒店专业英语</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72</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209060090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餐饮服务与管理（双语）</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209060190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客房服务与管理（双语）</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209110040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前厅服务与管理（双语）</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211120080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酒店管理概论</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24</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211120120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酒水知识</w:t>
            </w:r>
            <w:r>
              <w:rPr>
                <w:rFonts w:eastAsia="宋体"/>
                <w:sz w:val="21"/>
                <w:szCs w:val="24"/>
              </w:rPr>
              <w:t>与酒吧管理</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210060120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酒店市场营销与策划</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2839"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小计</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16</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288</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150</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10</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6</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r>
              <w:rPr>
                <w:rFonts w:hint="eastAsia" w:ascii="宋体" w:eastAsia="宋体"/>
                <w:color w:val="000000"/>
                <w:kern w:val="0"/>
                <w:sz w:val="18"/>
                <w:szCs w:val="18"/>
              </w:rPr>
              <w:t>旅游管理方向</w:t>
            </w: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210060020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导游实务</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210110160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导游基础知识</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211120160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英语模拟导游</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72</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211120140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入境旅游产品</w:t>
            </w:r>
            <w:r>
              <w:rPr>
                <w:rFonts w:eastAsia="宋体"/>
                <w:sz w:val="21"/>
                <w:szCs w:val="24"/>
              </w:rPr>
              <w:t>组织与营销</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211120060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出境旅游营销</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214110060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旅游政策法规</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18</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211120040</w:t>
            </w:r>
          </w:p>
        </w:tc>
        <w:tc>
          <w:tcPr>
            <w:tcW w:w="1559"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出境领队英语</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36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24</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r>
              <w:rPr>
                <w:rFonts w:eastAsia="宋体"/>
                <w:sz w:val="21"/>
                <w:szCs w:val="24"/>
              </w:rPr>
              <w:t>*</w:t>
            </w:r>
          </w:p>
        </w:tc>
      </w:tr>
      <w:tr>
        <w:tblPrEx>
          <w:tblCellMar>
            <w:top w:w="0" w:type="dxa"/>
            <w:left w:w="108" w:type="dxa"/>
            <w:bottom w:w="0" w:type="dxa"/>
            <w:right w:w="108" w:type="dxa"/>
          </w:tblCellMar>
        </w:tblPrEx>
        <w:trPr>
          <w:gridAfter w:val="1"/>
          <w:wAfter w:w="8" w:type="dxa"/>
          <w:trHeight w:val="285" w:hRule="atLeast"/>
          <w:jc w:val="center"/>
        </w:trPr>
        <w:tc>
          <w:tcPr>
            <w:tcW w:w="4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2839"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小计</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16</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288</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150</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10</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6</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389" w:hRule="atLeast"/>
          <w:jc w:val="center"/>
        </w:trPr>
        <w:tc>
          <w:tcPr>
            <w:tcW w:w="842" w:type="dxa"/>
            <w:gridSpan w:val="2"/>
            <w:vMerge w:val="restart"/>
            <w:tcBorders>
              <w:left w:val="single" w:color="auto" w:sz="4" w:space="0"/>
              <w:right w:val="nil"/>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r>
              <w:rPr>
                <w:rFonts w:hint="eastAsia" w:ascii="宋体" w:eastAsia="宋体"/>
                <w:color w:val="000000"/>
                <w:kern w:val="0"/>
                <w:sz w:val="18"/>
                <w:szCs w:val="18"/>
              </w:rPr>
              <w:t>实习实训课</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认识实习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16</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16</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4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single" w:color="auto" w:sz="4" w:space="0"/>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389" w:hRule="atLeast"/>
          <w:jc w:val="center"/>
        </w:trPr>
        <w:tc>
          <w:tcPr>
            <w:tcW w:w="842" w:type="dxa"/>
            <w:gridSpan w:val="2"/>
            <w:vMerge w:val="continue"/>
            <w:tcBorders>
              <w:left w:val="single" w:color="auto" w:sz="4" w:space="0"/>
              <w:right w:val="nil"/>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第二课堂</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4</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6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single" w:color="auto" w:sz="4" w:space="0"/>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389" w:hRule="atLeast"/>
          <w:jc w:val="center"/>
        </w:trPr>
        <w:tc>
          <w:tcPr>
            <w:tcW w:w="842" w:type="dxa"/>
            <w:gridSpan w:val="2"/>
            <w:vMerge w:val="continue"/>
            <w:tcBorders>
              <w:left w:val="single" w:color="auto" w:sz="4" w:space="0"/>
              <w:right w:val="nil"/>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跟岗实习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8</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144</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72</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389" w:hRule="atLeast"/>
          <w:jc w:val="center"/>
        </w:trPr>
        <w:tc>
          <w:tcPr>
            <w:tcW w:w="842" w:type="dxa"/>
            <w:gridSpan w:val="2"/>
            <w:vMerge w:val="continue"/>
            <w:tcBorders>
              <w:left w:val="single" w:color="auto" w:sz="4" w:space="0"/>
              <w:right w:val="nil"/>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single" w:color="auto" w:sz="4" w:space="0"/>
              <w:left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p>
        </w:tc>
        <w:tc>
          <w:tcPr>
            <w:tcW w:w="1559" w:type="dxa"/>
            <w:tcBorders>
              <w:top w:val="single" w:color="auto" w:sz="4" w:space="0"/>
              <w:left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顶岗实习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24</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432</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432</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50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389" w:hRule="atLeast"/>
          <w:jc w:val="center"/>
        </w:trPr>
        <w:tc>
          <w:tcPr>
            <w:tcW w:w="842" w:type="dxa"/>
            <w:gridSpan w:val="2"/>
            <w:vMerge w:val="continue"/>
            <w:tcBorders>
              <w:left w:val="single" w:color="auto" w:sz="4" w:space="0"/>
              <w:right w:val="nil"/>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1280" w:type="dxa"/>
            <w:tcBorders>
              <w:top w:val="single" w:color="auto" w:sz="4" w:space="0"/>
              <w:left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p>
        </w:tc>
        <w:tc>
          <w:tcPr>
            <w:tcW w:w="1559" w:type="dxa"/>
            <w:tcBorders>
              <w:top w:val="single" w:color="auto" w:sz="4" w:space="0"/>
              <w:left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毕业实习报告</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60</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w:t>
            </w: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389" w:hRule="atLeast"/>
          <w:jc w:val="center"/>
        </w:trPr>
        <w:tc>
          <w:tcPr>
            <w:tcW w:w="842" w:type="dxa"/>
            <w:gridSpan w:val="2"/>
            <w:vMerge w:val="continue"/>
            <w:tcBorders>
              <w:left w:val="single" w:color="auto" w:sz="4" w:space="0"/>
              <w:right w:val="nil"/>
            </w:tcBorders>
            <w:vAlign w:val="center"/>
          </w:tcPr>
          <w:p>
            <w:pPr>
              <w:keepNext w:val="0"/>
              <w:keepLines w:val="0"/>
              <w:widowControl/>
              <w:suppressLineNumbers w:val="0"/>
              <w:spacing w:before="0" w:beforeAutospacing="0" w:after="0" w:afterAutospacing="0"/>
              <w:ind w:left="0" w:right="0"/>
              <w:jc w:val="left"/>
              <w:textAlignment w:val="baseline"/>
              <w:rPr>
                <w:rFonts w:ascii="宋体" w:eastAsia="宋体"/>
                <w:color w:val="000000"/>
                <w:kern w:val="0"/>
                <w:sz w:val="18"/>
                <w:szCs w:val="18"/>
              </w:rPr>
            </w:pPr>
          </w:p>
        </w:tc>
        <w:tc>
          <w:tcPr>
            <w:tcW w:w="2839" w:type="dxa"/>
            <w:gridSpan w:val="2"/>
            <w:tcBorders>
              <w:top w:val="single" w:color="auto" w:sz="4" w:space="0"/>
              <w:left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小计</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41</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652</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520</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0</w:t>
            </w: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0</w:t>
            </w: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0</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4"/>
              </w:rPr>
            </w:pPr>
            <w:r>
              <w:rPr>
                <w:rFonts w:eastAsia="宋体"/>
                <w:sz w:val="21"/>
                <w:szCs w:val="24"/>
              </w:rPr>
              <w:t>0</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c>
          <w:tcPr>
            <w:tcW w:w="50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p>
        </w:tc>
      </w:tr>
      <w:tr>
        <w:tblPrEx>
          <w:tblCellMar>
            <w:top w:w="0" w:type="dxa"/>
            <w:left w:w="108" w:type="dxa"/>
            <w:bottom w:w="0" w:type="dxa"/>
            <w:right w:w="108" w:type="dxa"/>
          </w:tblCellMar>
        </w:tblPrEx>
        <w:trPr>
          <w:gridAfter w:val="1"/>
          <w:wAfter w:w="8" w:type="dxa"/>
          <w:trHeight w:val="360" w:hRule="atLeast"/>
          <w:jc w:val="center"/>
        </w:trPr>
        <w:tc>
          <w:tcPr>
            <w:tcW w:w="3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eastAsia="宋体"/>
                <w:sz w:val="21"/>
                <w:szCs w:val="24"/>
              </w:rPr>
            </w:pPr>
            <w:r>
              <w:rPr>
                <w:rFonts w:hint="eastAsia" w:eastAsia="宋体"/>
                <w:sz w:val="21"/>
                <w:szCs w:val="24"/>
              </w:rPr>
              <w:t>合计</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1"/>
              </w:rPr>
            </w:pPr>
            <w:r>
              <w:rPr>
                <w:rFonts w:eastAsia="宋体"/>
                <w:sz w:val="21"/>
                <w:szCs w:val="21"/>
              </w:rPr>
              <w:t>146</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1"/>
              </w:rPr>
            </w:pPr>
            <w:r>
              <w:rPr>
                <w:rFonts w:hint="eastAsia" w:eastAsia="宋体"/>
                <w:sz w:val="21"/>
                <w:szCs w:val="21"/>
              </w:rPr>
              <w:t>2</w:t>
            </w:r>
            <w:r>
              <w:rPr>
                <w:rFonts w:eastAsia="宋体"/>
                <w:sz w:val="21"/>
                <w:szCs w:val="21"/>
              </w:rPr>
              <w:t>666</w:t>
            </w:r>
          </w:p>
        </w:tc>
        <w:tc>
          <w:tcPr>
            <w:tcW w:w="67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1"/>
              </w:rPr>
            </w:pPr>
            <w:r>
              <w:rPr>
                <w:rFonts w:eastAsia="宋体"/>
                <w:sz w:val="21"/>
                <w:szCs w:val="21"/>
              </w:rPr>
              <w:t>1332</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1"/>
              </w:rPr>
            </w:pPr>
            <w:r>
              <w:rPr>
                <w:rFonts w:eastAsia="宋体"/>
                <w:sz w:val="21"/>
                <w:szCs w:val="21"/>
              </w:rPr>
              <w:t>2</w:t>
            </w:r>
            <w:r>
              <w:rPr>
                <w:rFonts w:hint="eastAsia" w:eastAsia="宋体"/>
                <w:sz w:val="21"/>
                <w:szCs w:val="21"/>
              </w:rPr>
              <w:t>3</w:t>
            </w:r>
          </w:p>
        </w:tc>
        <w:tc>
          <w:tcPr>
            <w:tcW w:w="462"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1"/>
              </w:rPr>
            </w:pPr>
            <w:r>
              <w:rPr>
                <w:rFonts w:eastAsia="宋体"/>
                <w:sz w:val="21"/>
                <w:szCs w:val="21"/>
              </w:rPr>
              <w:t>2</w:t>
            </w:r>
            <w:r>
              <w:rPr>
                <w:rFonts w:hint="eastAsia" w:eastAsia="宋体"/>
                <w:sz w:val="21"/>
                <w:szCs w:val="21"/>
              </w:rPr>
              <w:t>2</w:t>
            </w:r>
          </w:p>
        </w:tc>
        <w:tc>
          <w:tcPr>
            <w:tcW w:w="45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eastAsia="宋体"/>
                <w:sz w:val="21"/>
                <w:szCs w:val="21"/>
              </w:rPr>
            </w:pPr>
            <w:r>
              <w:rPr>
                <w:rFonts w:hint="eastAsia" w:eastAsia="宋体"/>
                <w:sz w:val="21"/>
                <w:szCs w:val="21"/>
              </w:rPr>
              <w:t>20</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1"/>
              </w:rPr>
            </w:pPr>
            <w:r>
              <w:rPr>
                <w:rFonts w:eastAsia="宋体"/>
                <w:sz w:val="21"/>
                <w:szCs w:val="21"/>
              </w:rPr>
              <w:t>18</w:t>
            </w: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1"/>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1"/>
              </w:rPr>
            </w:pPr>
          </w:p>
        </w:tc>
        <w:tc>
          <w:tcPr>
            <w:tcW w:w="506"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eastAsia="宋体"/>
                <w:sz w:val="21"/>
                <w:szCs w:val="21"/>
              </w:rPr>
            </w:pPr>
          </w:p>
        </w:tc>
      </w:tr>
    </w:tbl>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spacing w:line="360" w:lineRule="auto"/>
        <w:ind w:firstLine="480" w:firstLineChars="200"/>
        <w:rPr>
          <w:rFonts w:ascii="仿宋" w:hAnsi="仿宋" w:eastAsia="仿宋"/>
        </w:rPr>
      </w:pPr>
      <w:r>
        <w:rPr>
          <w:rFonts w:hint="eastAsia" w:ascii="仿宋" w:hAnsi="仿宋" w:eastAsia="仿宋"/>
          <w:sz w:val="24"/>
        </w:rPr>
        <w:t>旅游英语专业建立了一支既有扎实的理论基础，又有专业操作技能的“双师型” 教师队伍。现有的专业教师队伍中，具备旅游企业五年工作经验以上的教师比例偏低。针对这种情况，要提高本专业的师资水平，更好的为学生服务还需要做以下努力：1）每年安排一定数量的教师到企业第一线进行调查研究，赴国内外高星级酒店、海外旅行社实习锻炼，积累实训教学需要的技能技巧和实践经验，改善教师的技能结构并不断地补充和完善自身专业素养和职业素质；2）引进有旅游实践经验的专业技术人员和聘请有关专家作为兼职教师等方式，逐步满足高职教学对“双师型”教师的需要；3）聘任具有高级职称的、较高专业水平和职业素养，教学与实践经验丰富的校内专业带头人1人；聘请知名度高，从业经验丰富、精通英语的旅游企业高级管理人员2人为兼职专业带头人，负责校企合作、实践教学、课程建设、课题研究等的组织与管理工作；4）每年选派专业骨干教师，深入旅游企业跟岗锻炼，以胜任核心课程的专业教学工作；5）鼓励教师与企业合作开展科研，积极开展横向课题，提升产学研结合创新能力。20</w:t>
      </w:r>
      <w:r>
        <w:rPr>
          <w:rFonts w:ascii="仿宋" w:hAnsi="仿宋" w:eastAsia="仿宋"/>
          <w:sz w:val="24"/>
        </w:rPr>
        <w:t>21</w:t>
      </w:r>
      <w:r>
        <w:rPr>
          <w:rFonts w:hint="eastAsia" w:ascii="仿宋" w:hAnsi="仿宋" w:eastAsia="仿宋"/>
          <w:sz w:val="24"/>
        </w:rPr>
        <w:t>年，本专业的专兼职教师总数将达到30人。</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spacing w:line="360" w:lineRule="auto"/>
        <w:ind w:firstLine="480" w:firstLineChars="200"/>
        <w:rPr>
          <w:rFonts w:ascii="仿宋" w:hAnsi="仿宋" w:eastAsia="仿宋"/>
          <w:sz w:val="24"/>
        </w:rPr>
      </w:pPr>
      <w:r>
        <w:rPr>
          <w:rFonts w:hint="eastAsia" w:ascii="仿宋" w:hAnsi="仿宋" w:eastAsia="仿宋"/>
          <w:sz w:val="24"/>
        </w:rPr>
        <w:t xml:space="preserve">旅游英语专业具有综合性和交叉性，既要为学生提供良好的语言教学设备，又要配备专业实训设施。目前校内拥有1个多功能语音室、1个英语文化体验室、1个3D模拟导游实训室，建成旅游英语专业资源库1个，提供丰富的音视频、图片、动画等在线教学资源，营造浓厚的语言学习氛围，使学生对中华优秀传统文化及英语国家文化有直观的认识，提高语言学习兴趣，丰富学生行业文化背景知识，提高学生学习效率。全部教室安装多媒体设备，保证了学生语言训练的需求。学院建有无线发射台一个，定时循环播放中、外文节目，学生可以全天候收听。学院建有模拟导游室（数字化交互式教学），通过本系统使用虚拟现实技术，三维立体、细致逼真、生动地表现旅游景点的风光风貌，大幅提高学生对旅游课程的学习兴趣。 学院建有客房操作间、餐饮操作间、实习酒吧等，以及按国际标准建设的四星级百川花园酒店（实训中心），为学生提供客房、餐饮专业课程的实训场地。校内建有图书馆。 </w:t>
      </w:r>
    </w:p>
    <w:p>
      <w:pPr>
        <w:spacing w:line="360" w:lineRule="auto"/>
        <w:jc w:val="center"/>
        <w:rPr>
          <w:rFonts w:ascii="仿宋" w:hAnsi="仿宋" w:eastAsia="仿宋"/>
          <w:bCs/>
          <w:sz w:val="21"/>
          <w:szCs w:val="24"/>
        </w:rPr>
      </w:pPr>
      <w:r>
        <w:rPr>
          <w:rFonts w:hint="eastAsia" w:ascii="仿宋" w:hAnsi="仿宋" w:eastAsia="仿宋"/>
          <w:bCs/>
          <w:sz w:val="21"/>
          <w:szCs w:val="24"/>
        </w:rPr>
        <w:t>表</w:t>
      </w:r>
      <w:r>
        <w:rPr>
          <w:rFonts w:ascii="仿宋" w:hAnsi="仿宋" w:eastAsia="仿宋"/>
          <w:bCs/>
          <w:sz w:val="21"/>
          <w:szCs w:val="24"/>
        </w:rPr>
        <w:t xml:space="preserve">7 </w:t>
      </w:r>
      <w:r>
        <w:rPr>
          <w:rFonts w:hint="eastAsia" w:ascii="仿宋" w:hAnsi="仿宋" w:eastAsia="仿宋"/>
          <w:bCs/>
          <w:sz w:val="21"/>
          <w:szCs w:val="24"/>
        </w:rPr>
        <w:t>校内实训室配置要求</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502"/>
        <w:gridCol w:w="2314"/>
        <w:gridCol w:w="2547"/>
        <w:gridCol w:w="2361"/>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4"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实训室名称</w:t>
            </w:r>
          </w:p>
        </w:tc>
        <w:tc>
          <w:tcPr>
            <w:tcW w:w="25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实训室功能</w:t>
            </w:r>
          </w:p>
        </w:tc>
        <w:tc>
          <w:tcPr>
            <w:tcW w:w="236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适用课程</w:t>
            </w:r>
          </w:p>
        </w:tc>
        <w:tc>
          <w:tcPr>
            <w:tcW w:w="0" w:type="auto"/>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工位数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rPr>
            </w:pPr>
            <w:r>
              <w:rPr>
                <w:rFonts w:hint="eastAsia" w:ascii="仿宋" w:hAnsi="仿宋" w:eastAsia="仿宋"/>
                <w:sz w:val="21"/>
                <w:szCs w:val="24"/>
              </w:rPr>
              <w:t>多功能语音室</w:t>
            </w:r>
          </w:p>
        </w:tc>
        <w:tc>
          <w:tcPr>
            <w:tcW w:w="25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交互式语言技能训练、外语类技能考试、社会培训及技能鉴定</w:t>
            </w:r>
          </w:p>
        </w:tc>
        <w:tc>
          <w:tcPr>
            <w:tcW w:w="236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rPr>
              <w:t>英语语音、英语听说、基础英语、中华优秀传统文化（双语）</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64人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rPr>
            </w:pPr>
            <w:r>
              <w:rPr>
                <w:rFonts w:hint="eastAsia" w:ascii="仿宋" w:hAnsi="仿宋" w:eastAsia="仿宋"/>
                <w:sz w:val="21"/>
                <w:szCs w:val="24"/>
              </w:rPr>
              <w:t>英美文化体验室</w:t>
            </w:r>
          </w:p>
        </w:tc>
        <w:tc>
          <w:tcPr>
            <w:tcW w:w="25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培养学生的人文素养，加深对英语国家传统文化的了解</w:t>
            </w:r>
          </w:p>
        </w:tc>
        <w:tc>
          <w:tcPr>
            <w:tcW w:w="236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出境旅游营销、英语听说、英语口语</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100人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rPr>
            </w:pPr>
            <w:r>
              <w:rPr>
                <w:rFonts w:hint="eastAsia" w:ascii="仿宋" w:hAnsi="仿宋" w:eastAsia="仿宋"/>
                <w:sz w:val="21"/>
                <w:szCs w:val="24"/>
              </w:rPr>
              <w:t>模拟导游室</w:t>
            </w:r>
          </w:p>
        </w:tc>
        <w:tc>
          <w:tcPr>
            <w:tcW w:w="25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bCs/>
                <w:sz w:val="21"/>
                <w:szCs w:val="24"/>
              </w:rPr>
              <w:t>进行导游技能训练</w:t>
            </w:r>
          </w:p>
        </w:tc>
        <w:tc>
          <w:tcPr>
            <w:tcW w:w="236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rPr>
              <w:t>旅游英语、英语模拟导游、中华优秀传统文化</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40人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bCs/>
                <w:sz w:val="21"/>
                <w:szCs w:val="24"/>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rPr>
            </w:pPr>
            <w:r>
              <w:rPr>
                <w:rFonts w:hint="eastAsia" w:ascii="仿宋" w:hAnsi="仿宋" w:eastAsia="仿宋"/>
                <w:sz w:val="21"/>
                <w:szCs w:val="24"/>
                <w:lang w:val="zh-CN"/>
              </w:rPr>
              <w:t>客房操作间</w:t>
            </w:r>
          </w:p>
        </w:tc>
        <w:tc>
          <w:tcPr>
            <w:tcW w:w="25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sz w:val="21"/>
                <w:szCs w:val="24"/>
                <w:lang w:val="zh-CN"/>
              </w:rPr>
              <w:t>进行饭店客房服务技能训练</w:t>
            </w:r>
          </w:p>
        </w:tc>
        <w:tc>
          <w:tcPr>
            <w:tcW w:w="236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sz w:val="21"/>
                <w:szCs w:val="24"/>
                <w:lang w:val="zh-CN"/>
              </w:rPr>
              <w:t>客房服务与管理</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bCs/>
                <w:sz w:val="21"/>
                <w:szCs w:val="24"/>
              </w:rPr>
            </w:pPr>
            <w:r>
              <w:rPr>
                <w:rFonts w:hint="eastAsia" w:ascii="仿宋" w:hAnsi="仿宋" w:eastAsia="仿宋"/>
                <w:sz w:val="21"/>
                <w:szCs w:val="24"/>
                <w:lang w:val="zh-CN"/>
              </w:rPr>
              <w:t>40人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餐饮操作间</w:t>
            </w:r>
          </w:p>
        </w:tc>
        <w:tc>
          <w:tcPr>
            <w:tcW w:w="25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进行饭店餐饮服务技能训练</w:t>
            </w:r>
          </w:p>
        </w:tc>
        <w:tc>
          <w:tcPr>
            <w:tcW w:w="236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餐饮服务与管理</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40人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实习酒吧</w:t>
            </w:r>
          </w:p>
        </w:tc>
        <w:tc>
          <w:tcPr>
            <w:tcW w:w="25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进行饭店酒水服务技能训练</w:t>
            </w:r>
          </w:p>
        </w:tc>
        <w:tc>
          <w:tcPr>
            <w:tcW w:w="236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餐饮服务与管理</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40人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百川花园酒店（实训中心）</w:t>
            </w:r>
          </w:p>
        </w:tc>
        <w:tc>
          <w:tcPr>
            <w:tcW w:w="25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进行饭店各服务岗位技能训练</w:t>
            </w:r>
          </w:p>
        </w:tc>
        <w:tc>
          <w:tcPr>
            <w:tcW w:w="236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饭店英语、前厅服务与管理、客房服务与管理、餐饮服务与管理</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120人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安检实训室</w:t>
            </w:r>
          </w:p>
        </w:tc>
        <w:tc>
          <w:tcPr>
            <w:tcW w:w="25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进行英语领队服务训练</w:t>
            </w:r>
          </w:p>
        </w:tc>
        <w:tc>
          <w:tcPr>
            <w:tcW w:w="236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领队英语</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ascii="仿宋" w:hAnsi="仿宋" w:eastAsia="仿宋"/>
                <w:sz w:val="21"/>
                <w:szCs w:val="24"/>
                <w:lang w:val="zh-CN"/>
              </w:rPr>
            </w:pPr>
            <w:r>
              <w:rPr>
                <w:rFonts w:hint="eastAsia" w:ascii="仿宋" w:hAnsi="仿宋" w:eastAsia="仿宋"/>
                <w:sz w:val="21"/>
                <w:szCs w:val="24"/>
                <w:lang w:val="zh-CN"/>
              </w:rPr>
              <w:t>40人</w:t>
            </w:r>
          </w:p>
        </w:tc>
      </w:tr>
    </w:tbl>
    <w:p>
      <w:pPr>
        <w:spacing w:before="240" w:after="240" w:line="360" w:lineRule="auto"/>
        <w:ind w:firstLine="480" w:firstLineChars="200"/>
        <w:rPr>
          <w:rFonts w:ascii="仿宋" w:hAnsi="仿宋" w:eastAsia="仿宋"/>
          <w:sz w:val="24"/>
          <w:szCs w:val="24"/>
        </w:rPr>
      </w:pPr>
      <w:r>
        <w:rPr>
          <w:rFonts w:hint="eastAsia" w:ascii="仿宋" w:hAnsi="仿宋" w:eastAsia="仿宋"/>
          <w:sz w:val="24"/>
          <w:szCs w:val="24"/>
        </w:rPr>
        <w:t>根据旅游英语专业各方向就业岗位需求，依托校企合作委员会和山旅整体优势，注重校外实习实训基地教学功能建设，稳定并深化与国内多家五星级豪华酒店和国际旅行社的合作关系，学生在合作企业顶岗实习、优先就业，实现实习岗位与就业岗位相通；不断拓展与海外酒店、旅游企业的联系和合作，充分利用学院鼓励学生海外实习政策，发挥国际交流中心及其合作伙伴的力量，帮助更多学生走出国门实习或工作，实现旅游英语专业与行业密切结合。</w:t>
      </w:r>
    </w:p>
    <w:p>
      <w:pPr>
        <w:spacing w:line="360" w:lineRule="auto"/>
        <w:jc w:val="center"/>
        <w:rPr>
          <w:rFonts w:ascii="仿宋" w:hAnsi="仿宋" w:eastAsia="仿宋"/>
          <w:sz w:val="21"/>
          <w:szCs w:val="21"/>
        </w:rPr>
      </w:pPr>
      <w:r>
        <w:rPr>
          <w:rFonts w:hint="eastAsia" w:ascii="仿宋" w:hAnsi="仿宋" w:eastAsia="仿宋"/>
          <w:sz w:val="21"/>
          <w:szCs w:val="21"/>
        </w:rPr>
        <w:t>表</w:t>
      </w:r>
      <w:r>
        <w:rPr>
          <w:rFonts w:ascii="仿宋" w:hAnsi="仿宋" w:eastAsia="仿宋"/>
          <w:sz w:val="21"/>
          <w:szCs w:val="21"/>
        </w:rPr>
        <w:t xml:space="preserve">8 </w:t>
      </w:r>
      <w:r>
        <w:rPr>
          <w:rFonts w:hint="eastAsia" w:ascii="仿宋" w:hAnsi="仿宋" w:eastAsia="仿宋"/>
          <w:sz w:val="21"/>
          <w:szCs w:val="21"/>
        </w:rPr>
        <w:t>校外实践教学基地一览表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序号</w:t>
            </w:r>
          </w:p>
        </w:tc>
        <w:tc>
          <w:tcPr>
            <w:tcW w:w="3600"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基地名称</w:t>
            </w:r>
          </w:p>
        </w:tc>
        <w:tc>
          <w:tcPr>
            <w:tcW w:w="1440"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合作时间</w:t>
            </w:r>
          </w:p>
        </w:tc>
        <w:tc>
          <w:tcPr>
            <w:tcW w:w="2160"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接待学生量（人次）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1</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上海国际会议中心有限公司</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2000至今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2</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sz w:val="21"/>
                <w:szCs w:val="21"/>
              </w:rPr>
              <w:t>北京长富宫中心有限责任公司</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2009至今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3</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sz w:val="21"/>
                <w:szCs w:val="21"/>
              </w:rPr>
              <w:t>海南三亚山海天大酒店</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2009至今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4</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sz w:val="21"/>
                <w:szCs w:val="21"/>
              </w:rPr>
              <w:t>山东大厦</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2005至今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5</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贵和皇冠假日酒店</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2009至今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6</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济南银座索菲特大酒店</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1999至今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7</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威海中旅济南开元分公司</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2000至今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8</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山东航空彩虹国际旅行社有限公司</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2006至今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9</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济南现代旅行社</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1999至今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10</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新加坡樟宜国际机场</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2008至今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11</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阿联酋迪拜Address酒店</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2009至今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12</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阿联酋迪拜Pullman酒店</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2009至今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13</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阿联酋迪拜St.Regis酒店</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2009至今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14</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迪拜阿玛尼酒店（八星）</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2009至今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15</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迪拜伯瓷帆船酒店（七星）</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2010至今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bCs/>
                <w:sz w:val="21"/>
                <w:szCs w:val="21"/>
              </w:rPr>
            </w:pPr>
            <w:r>
              <w:rPr>
                <w:rFonts w:hint="eastAsia" w:ascii="仿宋" w:hAnsi="仿宋" w:eastAsia="仿宋"/>
                <w:bCs/>
                <w:sz w:val="21"/>
                <w:szCs w:val="21"/>
              </w:rPr>
              <w:t>16</w:t>
            </w:r>
          </w:p>
        </w:tc>
        <w:tc>
          <w:tcPr>
            <w:tcW w:w="360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阿联酋迪拜凯宾斯基酒店</w:t>
            </w: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2010至今</w:t>
            </w: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hint="eastAsia" w:ascii="仿宋" w:hAnsi="仿宋" w:eastAsia="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08" w:type="dxa"/>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r>
              <w:rPr>
                <w:rFonts w:ascii="仿宋" w:hAnsi="仿宋" w:eastAsia="仿宋"/>
                <w:sz w:val="21"/>
                <w:szCs w:val="21"/>
              </w:rPr>
              <w:t>…</w:t>
            </w:r>
          </w:p>
        </w:tc>
        <w:tc>
          <w:tcPr>
            <w:tcW w:w="3600" w:type="dxa"/>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p>
        </w:tc>
        <w:tc>
          <w:tcPr>
            <w:tcW w:w="144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p>
        </w:tc>
        <w:tc>
          <w:tcPr>
            <w:tcW w:w="2160" w:type="dxa"/>
            <w:vAlign w:val="center"/>
          </w:tcPr>
          <w:p>
            <w:pPr>
              <w:keepNext w:val="0"/>
              <w:keepLines w:val="0"/>
              <w:suppressLineNumbers w:val="0"/>
              <w:spacing w:before="0" w:beforeAutospacing="0" w:after="0" w:afterAutospacing="0" w:line="360" w:lineRule="auto"/>
              <w:ind w:left="0" w:right="0"/>
              <w:jc w:val="left"/>
              <w:rPr>
                <w:rFonts w:ascii="仿宋" w:hAnsi="仿宋" w:eastAsia="仿宋"/>
                <w:sz w:val="21"/>
                <w:szCs w:val="21"/>
              </w:rPr>
            </w:pPr>
          </w:p>
        </w:tc>
      </w:tr>
    </w:tbl>
    <w:p>
      <w:pPr>
        <w:overflowPunct w:val="0"/>
        <w:adjustRightInd w:val="0"/>
        <w:spacing w:line="360" w:lineRule="auto"/>
        <w:ind w:firstLine="480" w:firstLineChars="200"/>
        <w:rPr>
          <w:rFonts w:ascii="仿宋" w:hAnsi="仿宋" w:eastAsia="仿宋"/>
          <w:sz w:val="24"/>
        </w:rPr>
      </w:pPr>
    </w:p>
    <w:p>
      <w:pPr>
        <w:overflowPunct w:val="0"/>
        <w:adjustRightInd w:val="0"/>
        <w:ind w:firstLine="643" w:firstLineChars="200"/>
        <w:outlineLvl w:val="0"/>
        <w:rPr>
          <w:rFonts w:eastAsia="楷体_GB2312"/>
          <w:b/>
          <w:szCs w:val="32"/>
        </w:rPr>
      </w:pPr>
      <w:r>
        <w:rPr>
          <w:rFonts w:eastAsia="楷体_GB2312"/>
          <w:b/>
          <w:szCs w:val="32"/>
        </w:rPr>
        <w:t>（三）教学资源</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1、加强专业教材建设</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为了提高教学质量，必须高度重视教材建设，要适时</w:t>
      </w:r>
      <w:r>
        <w:rPr>
          <w:rFonts w:ascii="仿宋" w:hAnsi="仿宋" w:eastAsia="仿宋"/>
          <w:sz w:val="24"/>
          <w:szCs w:val="24"/>
        </w:rPr>
        <w:t>开发</w:t>
      </w:r>
      <w:r>
        <w:rPr>
          <w:rFonts w:hint="eastAsia" w:ascii="仿宋" w:hAnsi="仿宋" w:eastAsia="仿宋"/>
          <w:sz w:val="24"/>
          <w:szCs w:val="24"/>
        </w:rPr>
        <w:t>适合高职院校旅游英语专业的教材。需要组织有关老师参加适合本校或者说本专业旅游教材的开发。计划每年编一本适合旅游英语专业学生需要的校本教材。</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2、建立教学资源库</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建立了立体化旅游英语专业教学资源库，给学生提供一个自主学习和在线考核的平台，其内容包括教学管理制度、考核制度、教学大纲、实训大纲、考试大纲，课程教学计划，核心优质课程网上资料，课件，电子教案，习题，试题库等</w:t>
      </w:r>
      <w:r>
        <w:rPr>
          <w:rFonts w:ascii="仿宋" w:hAnsi="仿宋" w:eastAsia="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 xml:space="preserve">3、积极开展第二课堂 </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利用语言文化体验场地（语音室、视听室、英语文化体验室等），开展多种形式的英语课外活动，培养学生自主学习能力；通过英语社团、英语角、英汉双语背诵、外文歌曲大赛、英语口语大赛、英语情景剧大赛等方式，营造校园英语文化氛围，提高学生学习兴趣，增强他们的成就感和自信心，培养自学能力和终身学习能力；鼓励学生参加语言及职业证书考试，参与各类语言及技能大赛，通过以考带教、以赛促教的方式，全面提高学生的综合素质。</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4、建立旅游英语专业图书资料室</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学院建有图书馆，可供师生进行书籍的借阅。旅游英语专业目前尚未建成旅游英语专业的资料图书室，力争20</w:t>
      </w:r>
      <w:r>
        <w:rPr>
          <w:rFonts w:ascii="仿宋" w:hAnsi="仿宋" w:eastAsia="仿宋"/>
          <w:sz w:val="24"/>
          <w:szCs w:val="24"/>
        </w:rPr>
        <w:t>23</w:t>
      </w:r>
      <w:r>
        <w:rPr>
          <w:rFonts w:hint="eastAsia" w:ascii="仿宋" w:hAnsi="仿宋" w:eastAsia="仿宋"/>
          <w:sz w:val="24"/>
          <w:szCs w:val="24"/>
        </w:rPr>
        <w:t>年完成旅游英语专业图书资料室。</w:t>
      </w:r>
    </w:p>
    <w:p>
      <w:pPr>
        <w:overflowPunct w:val="0"/>
        <w:adjustRightInd w:val="0"/>
        <w:ind w:firstLine="643" w:firstLineChars="200"/>
        <w:outlineLvl w:val="0"/>
        <w:rPr>
          <w:rFonts w:eastAsia="楷体_GB2312"/>
          <w:b/>
          <w:szCs w:val="32"/>
        </w:rPr>
      </w:pPr>
      <w:r>
        <w:rPr>
          <w:rFonts w:eastAsia="楷体_GB2312"/>
          <w:b/>
          <w:szCs w:val="32"/>
        </w:rPr>
        <w:t>（四）教学方法</w:t>
      </w:r>
    </w:p>
    <w:p>
      <w:pPr>
        <w:spacing w:line="360" w:lineRule="auto"/>
        <w:ind w:firstLine="600" w:firstLineChars="250"/>
        <w:jc w:val="left"/>
        <w:rPr>
          <w:rFonts w:ascii="仿宋" w:hAnsi="仿宋" w:eastAsia="仿宋"/>
          <w:color w:val="000000"/>
          <w:sz w:val="24"/>
          <w:szCs w:val="24"/>
        </w:rPr>
      </w:pPr>
      <w:r>
        <w:rPr>
          <w:rFonts w:hint="eastAsia" w:ascii="仿宋" w:hAnsi="仿宋" w:eastAsia="仿宋" w:cs="仿宋"/>
          <w:color w:val="000000"/>
          <w:sz w:val="24"/>
          <w:szCs w:val="24"/>
        </w:rPr>
        <w:t>旅游英语专业教学采用灵活的教学方法</w:t>
      </w:r>
    </w:p>
    <w:p>
      <w:pPr>
        <w:spacing w:line="360" w:lineRule="auto"/>
        <w:ind w:firstLine="600" w:firstLineChars="250"/>
        <w:jc w:val="left"/>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、分层次教学：高职学生在英语单科高考成绩分化严重，最高分与最低分差距高达</w:t>
      </w:r>
      <w:r>
        <w:rPr>
          <w:rFonts w:ascii="仿宋" w:hAnsi="仿宋" w:eastAsia="仿宋" w:cs="仿宋"/>
          <w:color w:val="000000"/>
          <w:sz w:val="24"/>
          <w:szCs w:val="24"/>
        </w:rPr>
        <w:t>100</w:t>
      </w:r>
      <w:r>
        <w:rPr>
          <w:rFonts w:hint="eastAsia" w:ascii="仿宋" w:hAnsi="仿宋" w:eastAsia="仿宋" w:cs="仿宋"/>
          <w:color w:val="000000"/>
          <w:sz w:val="24"/>
          <w:szCs w:val="24"/>
        </w:rPr>
        <w:t>分，因此必须深化英语分层次教学改革，本专业根据学生的英语基础、个性差异和学习意愿将本专业学生划分相应等级和小组，在教学任务和学习目标方面实行分层次教学，强化英语交际能力培养。</w:t>
      </w:r>
    </w:p>
    <w:p>
      <w:pPr>
        <w:spacing w:line="360" w:lineRule="auto"/>
        <w:ind w:firstLine="600" w:firstLineChars="250"/>
        <w:jc w:val="left"/>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w:t>
      </w:r>
      <w:r>
        <w:rPr>
          <w:rFonts w:ascii="仿宋" w:hAnsi="仿宋" w:eastAsia="仿宋" w:cs="仿宋"/>
          <w:color w:val="000000"/>
          <w:sz w:val="24"/>
          <w:szCs w:val="24"/>
        </w:rPr>
        <w:t>CSD</w:t>
      </w:r>
      <w:r>
        <w:rPr>
          <w:rFonts w:hint="eastAsia" w:ascii="仿宋" w:hAnsi="仿宋" w:eastAsia="仿宋" w:cs="仿宋"/>
          <w:color w:val="000000"/>
          <w:sz w:val="24"/>
          <w:szCs w:val="24"/>
        </w:rPr>
        <w:t>教学：完善以学生为主体，以语言模仿为先、语言操练为主的英语课堂教学模式。进一步深化</w:t>
      </w:r>
      <w:r>
        <w:rPr>
          <w:rFonts w:ascii="仿宋" w:hAnsi="仿宋" w:eastAsia="仿宋" w:cs="仿宋"/>
          <w:color w:val="000000"/>
          <w:sz w:val="24"/>
          <w:szCs w:val="24"/>
        </w:rPr>
        <w:t>CSD</w:t>
      </w:r>
      <w:r>
        <w:rPr>
          <w:rFonts w:hint="eastAsia" w:ascii="仿宋" w:hAnsi="仿宋" w:eastAsia="仿宋" w:cs="仿宋"/>
          <w:color w:val="000000"/>
          <w:sz w:val="24"/>
          <w:szCs w:val="24"/>
        </w:rPr>
        <w:t>（</w:t>
      </w:r>
      <w:r>
        <w:rPr>
          <w:rFonts w:ascii="仿宋" w:hAnsi="仿宋" w:eastAsia="仿宋" w:cs="仿宋"/>
          <w:color w:val="000000"/>
          <w:sz w:val="24"/>
          <w:szCs w:val="24"/>
        </w:rPr>
        <w:t>Communicative Skills Development</w:t>
      </w:r>
      <w:r>
        <w:rPr>
          <w:rFonts w:hint="eastAsia" w:ascii="仿宋" w:hAnsi="仿宋" w:eastAsia="仿宋" w:cs="仿宋"/>
          <w:color w:val="000000"/>
          <w:sz w:val="24"/>
          <w:szCs w:val="24"/>
        </w:rPr>
        <w:t>）教学改革，采用听说领先的教学方法，遵循“大量模仿、大量练习、大量实践”的语言学习规律，提高学生英语语言交际和应用能力。</w:t>
      </w:r>
    </w:p>
    <w:p>
      <w:pPr>
        <w:spacing w:line="360" w:lineRule="auto"/>
        <w:ind w:firstLine="600" w:firstLineChars="250"/>
        <w:jc w:val="left"/>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、分方向教学：第二学年推进分方向（饭店管理方向和旅游管理两个方向）教学改革，明确学生学习重点和就业方向。</w:t>
      </w:r>
    </w:p>
    <w:p>
      <w:pPr>
        <w:spacing w:line="360" w:lineRule="auto"/>
        <w:ind w:firstLine="600" w:firstLineChars="250"/>
        <w:jc w:val="left"/>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项目教学：以学生的就业岗位职业标准为依据设计能力目标，分解岗位任务，将就业岗位的真实工作任务细化分解为若干教学项目，设置课程模块，采用“教、学、做一体化”的方式，推动项目引领、任务驱动的专业课程教学改革。</w:t>
      </w:r>
    </w:p>
    <w:p>
      <w:pPr>
        <w:spacing w:line="360" w:lineRule="auto"/>
        <w:ind w:firstLine="720" w:firstLineChars="300"/>
        <w:jc w:val="left"/>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情境教学：通过采用“双语教学、双师授课”等形式多样的教学方法，灵活运用多媒体设备和实训设备和条件，让学生获得实境模拟体验。实施以任务驱动为核心的仿真情境教学，使学生能独立完成职场工作任务，培养协作意识及敬业精神，为提高学生提高职业技能、应变能力和专业素质打下坚实基础。</w:t>
      </w:r>
    </w:p>
    <w:p>
      <w:pPr>
        <w:overflowPunct w:val="0"/>
        <w:adjustRightInd w:val="0"/>
        <w:ind w:firstLine="643" w:firstLineChars="200"/>
        <w:outlineLvl w:val="0"/>
        <w:rPr>
          <w:rFonts w:eastAsia="楷体_GB2312"/>
          <w:b/>
          <w:szCs w:val="32"/>
        </w:rPr>
      </w:pPr>
      <w:r>
        <w:rPr>
          <w:rFonts w:eastAsia="楷体_GB2312"/>
          <w:b/>
          <w:szCs w:val="32"/>
        </w:rPr>
        <w:t>（五）学习评价</w:t>
      </w:r>
    </w:p>
    <w:p>
      <w:pPr>
        <w:spacing w:line="360" w:lineRule="auto"/>
        <w:ind w:firstLine="600" w:firstLineChars="250"/>
        <w:jc w:val="left"/>
        <w:rPr>
          <w:rFonts w:ascii="仿宋" w:hAnsi="仿宋" w:eastAsia="仿宋"/>
          <w:color w:val="000000"/>
          <w:sz w:val="24"/>
          <w:szCs w:val="24"/>
        </w:rPr>
      </w:pPr>
      <w:r>
        <w:rPr>
          <w:rFonts w:hint="eastAsia" w:ascii="仿宋" w:hAnsi="仿宋" w:eastAsia="仿宋" w:cs="仿宋"/>
          <w:color w:val="000000"/>
          <w:sz w:val="24"/>
          <w:szCs w:val="24"/>
        </w:rPr>
        <w:t>根据本专业课程体系和教学模式的特点，本专业采用了与之相适应的、体现职业能力培养要求的以过程性考核为核心的口、笔试和操作课多种形式并存的综合考核评价模式。</w:t>
      </w:r>
    </w:p>
    <w:p>
      <w:pPr>
        <w:spacing w:line="360" w:lineRule="auto"/>
        <w:ind w:firstLine="600" w:firstLineChars="250"/>
        <w:jc w:val="left"/>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、专业通识课和非教改课</w:t>
      </w:r>
    </w:p>
    <w:p>
      <w:pPr>
        <w:spacing w:line="360" w:lineRule="auto"/>
        <w:ind w:left="525"/>
        <w:jc w:val="left"/>
        <w:rPr>
          <w:rFonts w:ascii="仿宋" w:hAnsi="仿宋" w:eastAsia="仿宋"/>
          <w:color w:val="000000"/>
          <w:sz w:val="24"/>
          <w:szCs w:val="24"/>
        </w:rPr>
      </w:pPr>
      <w:r>
        <w:rPr>
          <w:rFonts w:hint="eastAsia" w:ascii="仿宋" w:hAnsi="仿宋" w:eastAsia="仿宋" w:cs="仿宋"/>
          <w:color w:val="000000"/>
          <w:sz w:val="24"/>
          <w:szCs w:val="24"/>
        </w:rPr>
        <w:t>笔试：平时成绩（含出勤、课堂表现、作业）占</w:t>
      </w:r>
      <w:r>
        <w:rPr>
          <w:rFonts w:ascii="仿宋" w:hAnsi="仿宋" w:eastAsia="仿宋" w:cs="仿宋"/>
          <w:color w:val="000000"/>
          <w:sz w:val="24"/>
          <w:szCs w:val="24"/>
        </w:rPr>
        <w:t>60%</w:t>
      </w:r>
      <w:r>
        <w:rPr>
          <w:rFonts w:hint="eastAsia" w:ascii="仿宋" w:hAnsi="仿宋" w:eastAsia="仿宋" w:cs="仿宋"/>
          <w:color w:val="000000"/>
          <w:sz w:val="24"/>
          <w:szCs w:val="24"/>
        </w:rPr>
        <w:t>，期末考试</w:t>
      </w:r>
      <w:r>
        <w:rPr>
          <w:rFonts w:ascii="仿宋" w:hAnsi="仿宋" w:eastAsia="仿宋" w:cs="仿宋"/>
          <w:color w:val="000000"/>
          <w:sz w:val="24"/>
          <w:szCs w:val="24"/>
        </w:rPr>
        <w:t>40%</w:t>
      </w:r>
      <w:r>
        <w:rPr>
          <w:rFonts w:hint="eastAsia" w:ascii="仿宋" w:hAnsi="仿宋" w:eastAsia="仿宋" w:cs="仿宋"/>
          <w:color w:val="000000"/>
          <w:sz w:val="24"/>
          <w:szCs w:val="24"/>
        </w:rPr>
        <w:t>。</w:t>
      </w:r>
    </w:p>
    <w:p>
      <w:pPr>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口试：平时成绩（含出勤、课堂表现、测验、作业）占</w:t>
      </w:r>
      <w:r>
        <w:rPr>
          <w:rFonts w:ascii="仿宋" w:hAnsi="仿宋" w:eastAsia="仿宋" w:cs="仿宋"/>
          <w:color w:val="000000"/>
          <w:sz w:val="24"/>
          <w:szCs w:val="24"/>
        </w:rPr>
        <w:t>70%</w:t>
      </w:r>
      <w:r>
        <w:rPr>
          <w:rFonts w:hint="eastAsia" w:ascii="仿宋" w:hAnsi="仿宋" w:eastAsia="仿宋" w:cs="仿宋"/>
          <w:color w:val="000000"/>
          <w:sz w:val="24"/>
          <w:szCs w:val="24"/>
        </w:rPr>
        <w:t>，期末口试占</w:t>
      </w:r>
      <w:r>
        <w:rPr>
          <w:rFonts w:ascii="仿宋" w:hAnsi="仿宋" w:eastAsia="仿宋" w:cs="仿宋"/>
          <w:color w:val="000000"/>
          <w:sz w:val="24"/>
          <w:szCs w:val="24"/>
        </w:rPr>
        <w:t>30%.</w:t>
      </w:r>
    </w:p>
    <w:p>
      <w:pPr>
        <w:spacing w:line="360" w:lineRule="auto"/>
        <w:ind w:firstLine="600" w:firstLineChars="250"/>
        <w:jc w:val="left"/>
        <w:rPr>
          <w:rFonts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、项目教学改革课程</w:t>
      </w:r>
    </w:p>
    <w:p>
      <w:pPr>
        <w:spacing w:line="360" w:lineRule="auto"/>
        <w:jc w:val="center"/>
        <w:rPr>
          <w:rFonts w:ascii="仿宋" w:hAnsi="仿宋" w:eastAsia="仿宋"/>
          <w:color w:val="000000"/>
          <w:sz w:val="21"/>
          <w:szCs w:val="24"/>
        </w:rPr>
      </w:pPr>
      <w:r>
        <w:rPr>
          <w:rFonts w:hint="eastAsia" w:ascii="仿宋" w:hAnsi="仿宋" w:eastAsia="仿宋" w:cs="仿宋"/>
          <w:color w:val="000000"/>
          <w:sz w:val="24"/>
          <w:szCs w:val="24"/>
        </w:rPr>
        <w:t>表</w:t>
      </w:r>
      <w:r>
        <w:rPr>
          <w:rFonts w:ascii="仿宋" w:hAnsi="仿宋" w:eastAsia="仿宋" w:cs="仿宋"/>
          <w:color w:val="000000"/>
          <w:sz w:val="24"/>
          <w:szCs w:val="24"/>
        </w:rPr>
        <w:t xml:space="preserve">9 </w:t>
      </w:r>
      <w:r>
        <w:rPr>
          <w:rFonts w:hint="eastAsia" w:ascii="仿宋" w:hAnsi="仿宋" w:eastAsia="仿宋" w:cs="仿宋"/>
          <w:color w:val="000000"/>
          <w:sz w:val="24"/>
          <w:szCs w:val="24"/>
        </w:rPr>
        <w:t>项目化教学改革考核评价表</w:t>
      </w:r>
    </w:p>
    <w:tbl>
      <w:tblPr>
        <w:tblStyle w:val="15"/>
        <w:tblW w:w="821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97"/>
        <w:gridCol w:w="1107"/>
        <w:gridCol w:w="456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D9D9D9"/>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序号</w:t>
            </w:r>
          </w:p>
        </w:tc>
        <w:tc>
          <w:tcPr>
            <w:tcW w:w="1097" w:type="dxa"/>
            <w:shd w:val="clear" w:color="auto" w:fill="D9D9D9"/>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考核</w:t>
            </w:r>
          </w:p>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项目</w:t>
            </w:r>
          </w:p>
        </w:tc>
        <w:tc>
          <w:tcPr>
            <w:tcW w:w="1107" w:type="dxa"/>
            <w:shd w:val="clear" w:color="auto" w:fill="D9D9D9"/>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考核方式及分值</w:t>
            </w:r>
          </w:p>
        </w:tc>
        <w:tc>
          <w:tcPr>
            <w:tcW w:w="4563" w:type="dxa"/>
            <w:shd w:val="clear" w:color="auto" w:fill="D9D9D9"/>
          </w:tcPr>
          <w:p>
            <w:pPr>
              <w:keepNext w:val="0"/>
              <w:keepLines w:val="0"/>
              <w:widowControl/>
              <w:suppressLineNumbers w:val="0"/>
              <w:tabs>
                <w:tab w:val="left" w:pos="2321"/>
                <w:tab w:val="center" w:pos="2939"/>
              </w:tabs>
              <w:spacing w:before="0" w:beforeAutospacing="0" w:after="0" w:afterAutospacing="0" w:line="400" w:lineRule="exact"/>
              <w:ind w:left="0" w:right="0"/>
              <w:jc w:val="left"/>
              <w:rPr>
                <w:rFonts w:ascii="仿宋" w:hAnsi="仿宋" w:eastAsia="仿宋"/>
                <w:color w:val="000000"/>
                <w:kern w:val="0"/>
                <w:sz w:val="21"/>
                <w:szCs w:val="24"/>
              </w:rPr>
            </w:pPr>
            <w:r>
              <w:rPr>
                <w:rFonts w:ascii="仿宋" w:hAnsi="仿宋" w:eastAsia="仿宋"/>
                <w:color w:val="000000"/>
                <w:kern w:val="0"/>
                <w:sz w:val="21"/>
                <w:szCs w:val="24"/>
              </w:rPr>
              <w:tab/>
            </w:r>
            <w:r>
              <w:rPr>
                <w:rFonts w:ascii="仿宋" w:hAnsi="仿宋" w:eastAsia="仿宋"/>
                <w:color w:val="000000"/>
                <w:kern w:val="0"/>
                <w:sz w:val="21"/>
                <w:szCs w:val="24"/>
              </w:rPr>
              <w:tab/>
            </w:r>
            <w:r>
              <w:rPr>
                <w:rFonts w:hint="eastAsia" w:ascii="仿宋" w:hAnsi="仿宋" w:eastAsia="仿宋" w:cs="仿宋"/>
                <w:color w:val="000000"/>
                <w:kern w:val="0"/>
                <w:sz w:val="21"/>
                <w:szCs w:val="24"/>
              </w:rPr>
              <w:t>评价标准</w:t>
            </w:r>
          </w:p>
        </w:tc>
        <w:tc>
          <w:tcPr>
            <w:tcW w:w="992" w:type="dxa"/>
            <w:shd w:val="clear" w:color="auto" w:fill="D9D9D9"/>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1</w:t>
            </w:r>
          </w:p>
        </w:tc>
        <w:tc>
          <w:tcPr>
            <w:tcW w:w="1097" w:type="dxa"/>
            <w:vMerge w:val="restart"/>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平时成绩（</w:t>
            </w:r>
            <w:r>
              <w:rPr>
                <w:rFonts w:ascii="仿宋" w:hAnsi="仿宋" w:eastAsia="仿宋" w:cs="仿宋"/>
                <w:color w:val="000000"/>
                <w:kern w:val="0"/>
                <w:sz w:val="21"/>
                <w:szCs w:val="24"/>
              </w:rPr>
              <w:t>70%</w:t>
            </w:r>
            <w:r>
              <w:rPr>
                <w:rFonts w:hint="eastAsia" w:ascii="仿宋" w:hAnsi="仿宋" w:eastAsia="仿宋" w:cs="仿宋"/>
                <w:color w:val="000000"/>
                <w:kern w:val="0"/>
                <w:sz w:val="21"/>
                <w:szCs w:val="24"/>
              </w:rPr>
              <w:t>）</w:t>
            </w:r>
          </w:p>
        </w:tc>
        <w:tc>
          <w:tcPr>
            <w:tcW w:w="1107"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出勤率</w:t>
            </w:r>
          </w:p>
        </w:tc>
        <w:tc>
          <w:tcPr>
            <w:tcW w:w="4563"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按时上下课，不迟到不早退，有事请假</w:t>
            </w:r>
          </w:p>
        </w:tc>
        <w:tc>
          <w:tcPr>
            <w:tcW w:w="992"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2</w:t>
            </w:r>
          </w:p>
        </w:tc>
        <w:tc>
          <w:tcPr>
            <w:tcW w:w="1097" w:type="dxa"/>
            <w:vMerge w:val="continue"/>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p>
        </w:tc>
        <w:tc>
          <w:tcPr>
            <w:tcW w:w="1107"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每单元项目完成情况</w:t>
            </w:r>
          </w:p>
        </w:tc>
        <w:tc>
          <w:tcPr>
            <w:tcW w:w="4563"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正确理解任务并按时、保质完成任务；计划、方案、调研报告要求内容完整准确；汇报内容完整、表述清晰、语言流利；与小组成员和谐合作，主动承担分工，合理处理人际关系并能协助他人完成工作任务。</w:t>
            </w:r>
          </w:p>
        </w:tc>
        <w:tc>
          <w:tcPr>
            <w:tcW w:w="992"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3</w:t>
            </w:r>
          </w:p>
        </w:tc>
        <w:tc>
          <w:tcPr>
            <w:tcW w:w="1097" w:type="dxa"/>
            <w:vMerge w:val="continue"/>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p>
        </w:tc>
        <w:tc>
          <w:tcPr>
            <w:tcW w:w="1107"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书面作业</w:t>
            </w:r>
          </w:p>
        </w:tc>
        <w:tc>
          <w:tcPr>
            <w:tcW w:w="4563"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按时完成听写、翻译、写作等作业，书写认真</w:t>
            </w:r>
          </w:p>
        </w:tc>
        <w:tc>
          <w:tcPr>
            <w:tcW w:w="992"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4</w:t>
            </w:r>
          </w:p>
        </w:tc>
        <w:tc>
          <w:tcPr>
            <w:tcW w:w="1097" w:type="dxa"/>
            <w:vMerge w:val="continue"/>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p>
        </w:tc>
        <w:tc>
          <w:tcPr>
            <w:tcW w:w="1107"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课堂表现</w:t>
            </w:r>
          </w:p>
        </w:tc>
        <w:tc>
          <w:tcPr>
            <w:tcW w:w="4563"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上课认真听讲，积极思考，敢于开口用英语交际</w:t>
            </w:r>
          </w:p>
        </w:tc>
        <w:tc>
          <w:tcPr>
            <w:tcW w:w="992"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5</w:t>
            </w:r>
          </w:p>
        </w:tc>
        <w:tc>
          <w:tcPr>
            <w:tcW w:w="1097" w:type="dxa"/>
            <w:vMerge w:val="restart"/>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期末成绩（</w:t>
            </w:r>
            <w:r>
              <w:rPr>
                <w:rFonts w:ascii="仿宋" w:hAnsi="仿宋" w:eastAsia="仿宋" w:cs="仿宋"/>
                <w:color w:val="000000"/>
                <w:kern w:val="0"/>
                <w:sz w:val="21"/>
                <w:szCs w:val="24"/>
              </w:rPr>
              <w:t>30%</w:t>
            </w:r>
            <w:r>
              <w:rPr>
                <w:rFonts w:hint="eastAsia" w:ascii="仿宋" w:hAnsi="仿宋" w:eastAsia="仿宋" w:cs="仿宋"/>
                <w:color w:val="000000"/>
                <w:kern w:val="0"/>
                <w:sz w:val="21"/>
                <w:szCs w:val="24"/>
              </w:rPr>
              <w:t>）</w:t>
            </w:r>
          </w:p>
        </w:tc>
        <w:tc>
          <w:tcPr>
            <w:tcW w:w="1107"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期末笔试</w:t>
            </w:r>
          </w:p>
        </w:tc>
        <w:tc>
          <w:tcPr>
            <w:tcW w:w="4563"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英语听力、词汇、语法、阅读、写作、翻译等有提高</w:t>
            </w:r>
          </w:p>
        </w:tc>
        <w:tc>
          <w:tcPr>
            <w:tcW w:w="992"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6</w:t>
            </w:r>
          </w:p>
        </w:tc>
        <w:tc>
          <w:tcPr>
            <w:tcW w:w="1097" w:type="dxa"/>
            <w:vMerge w:val="continue"/>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p>
        </w:tc>
        <w:tc>
          <w:tcPr>
            <w:tcW w:w="1107"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期末口试</w:t>
            </w:r>
          </w:p>
        </w:tc>
        <w:tc>
          <w:tcPr>
            <w:tcW w:w="4563" w:type="dxa"/>
          </w:tcPr>
          <w:p>
            <w:pPr>
              <w:keepNext w:val="0"/>
              <w:keepLines w:val="0"/>
              <w:widowControl/>
              <w:suppressLineNumbers w:val="0"/>
              <w:spacing w:before="0" w:beforeAutospacing="0" w:after="0" w:afterAutospacing="0" w:line="400" w:lineRule="exact"/>
              <w:ind w:left="0" w:right="0"/>
              <w:jc w:val="left"/>
              <w:rPr>
                <w:rFonts w:ascii="仿宋" w:hAnsi="仿宋" w:eastAsia="仿宋"/>
                <w:color w:val="000000"/>
                <w:kern w:val="0"/>
                <w:sz w:val="21"/>
                <w:szCs w:val="24"/>
              </w:rPr>
            </w:pPr>
            <w:r>
              <w:rPr>
                <w:rFonts w:hint="eastAsia" w:ascii="仿宋" w:hAnsi="仿宋" w:eastAsia="仿宋" w:cs="仿宋"/>
                <w:color w:val="000000"/>
                <w:kern w:val="0"/>
                <w:sz w:val="21"/>
                <w:szCs w:val="24"/>
              </w:rPr>
              <w:t>终期项目考核</w:t>
            </w:r>
          </w:p>
        </w:tc>
        <w:tc>
          <w:tcPr>
            <w:tcW w:w="992" w:type="dxa"/>
          </w:tcPr>
          <w:p>
            <w:pPr>
              <w:keepNext w:val="0"/>
              <w:keepLines w:val="0"/>
              <w:widowControl/>
              <w:suppressLineNumbers w:val="0"/>
              <w:spacing w:before="0" w:beforeAutospacing="0" w:after="0" w:afterAutospacing="0" w:line="400" w:lineRule="exact"/>
              <w:ind w:left="0" w:right="0"/>
              <w:jc w:val="left"/>
              <w:rPr>
                <w:rFonts w:ascii="仿宋" w:hAnsi="仿宋" w:eastAsia="仿宋" w:cs="仿宋"/>
                <w:color w:val="000000"/>
                <w:kern w:val="0"/>
                <w:sz w:val="21"/>
                <w:szCs w:val="24"/>
              </w:rPr>
            </w:pPr>
            <w:r>
              <w:rPr>
                <w:rFonts w:ascii="仿宋" w:hAnsi="仿宋" w:eastAsia="仿宋" w:cs="仿宋"/>
                <w:color w:val="000000"/>
                <w:kern w:val="0"/>
                <w:sz w:val="21"/>
                <w:szCs w:val="24"/>
              </w:rPr>
              <w:t>50%</w:t>
            </w:r>
          </w:p>
        </w:tc>
      </w:tr>
    </w:tbl>
    <w:p>
      <w:pPr>
        <w:overflowPunct w:val="0"/>
        <w:adjustRightInd w:val="0"/>
        <w:ind w:firstLine="640" w:firstLineChars="200"/>
        <w:outlineLvl w:val="0"/>
        <w:rPr>
          <w:rFonts w:eastAsia="黑体"/>
          <w:szCs w:val="32"/>
        </w:rPr>
      </w:pPr>
      <w:r>
        <w:rPr>
          <w:rFonts w:eastAsia="黑体"/>
          <w:szCs w:val="32"/>
        </w:rPr>
        <w:t>九、毕业要求</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、德、智、体、美、劳良好，积极参加课外素质教育拓展活动，德育考核达标；</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、按学分管理规定和要求修完相应14</w:t>
      </w:r>
      <w:r>
        <w:rPr>
          <w:rFonts w:ascii="仿宋" w:hAnsi="仿宋" w:eastAsia="仿宋"/>
          <w:sz w:val="24"/>
          <w:szCs w:val="24"/>
        </w:rPr>
        <w:t>6</w:t>
      </w:r>
      <w:r>
        <w:rPr>
          <w:rFonts w:hint="eastAsia" w:ascii="仿宋" w:hAnsi="仿宋" w:eastAsia="仿宋"/>
          <w:sz w:val="24"/>
          <w:szCs w:val="24"/>
        </w:rPr>
        <w:t>学分；</w:t>
      </w:r>
    </w:p>
    <w:p>
      <w:pPr>
        <w:spacing w:line="360" w:lineRule="auto"/>
        <w:ind w:firstLine="480" w:firstLineChars="200"/>
        <w:rPr>
          <w:rFonts w:ascii="仿宋" w:hAnsi="仿宋" w:eastAsia="仿宋"/>
          <w:sz w:val="24"/>
          <w:szCs w:val="24"/>
        </w:rPr>
      </w:pPr>
      <w:r>
        <w:rPr>
          <w:rFonts w:ascii="仿宋" w:hAnsi="仿宋" w:eastAsia="仿宋"/>
          <w:bCs/>
          <w:sz w:val="24"/>
          <w:szCs w:val="24"/>
        </w:rPr>
        <w:t>3</w:t>
      </w:r>
      <w:r>
        <w:rPr>
          <w:rFonts w:hint="eastAsia" w:ascii="仿宋" w:hAnsi="仿宋" w:eastAsia="仿宋"/>
          <w:bCs/>
          <w:sz w:val="24"/>
          <w:szCs w:val="24"/>
        </w:rPr>
        <w:t>、</w:t>
      </w:r>
      <w:r>
        <w:rPr>
          <w:rFonts w:hint="eastAsia" w:ascii="仿宋" w:hAnsi="仿宋" w:eastAsia="仿宋"/>
          <w:sz w:val="24"/>
          <w:szCs w:val="24"/>
        </w:rPr>
        <w:t>获得普通话国家二级乙等以上标准证书、</w:t>
      </w:r>
      <w:r>
        <w:rPr>
          <w:rFonts w:hint="eastAsia" w:ascii="仿宋" w:hAnsi="仿宋" w:eastAsia="仿宋"/>
          <w:bCs/>
          <w:sz w:val="24"/>
          <w:szCs w:val="24"/>
        </w:rPr>
        <w:t>本专业规定的职业资格</w:t>
      </w:r>
      <w:r>
        <w:rPr>
          <w:rFonts w:hint="eastAsia" w:ascii="仿宋" w:hAnsi="仿宋" w:eastAsia="仿宋"/>
          <w:sz w:val="24"/>
          <w:szCs w:val="24"/>
        </w:rPr>
        <w:t>证书。</w:t>
      </w:r>
    </w:p>
    <w:p>
      <w:pPr>
        <w:spacing w:line="360" w:lineRule="auto"/>
        <w:ind w:firstLine="420" w:firstLineChars="200"/>
        <w:jc w:val="center"/>
        <w:rPr>
          <w:rFonts w:ascii="仿宋" w:hAnsi="仿宋" w:eastAsia="仿宋"/>
          <w:sz w:val="21"/>
          <w:szCs w:val="24"/>
        </w:rPr>
      </w:pPr>
      <w:r>
        <w:rPr>
          <w:rFonts w:hint="eastAsia" w:ascii="仿宋" w:hAnsi="仿宋" w:eastAsia="仿宋"/>
          <w:sz w:val="21"/>
          <w:szCs w:val="24"/>
        </w:rPr>
        <w:t>表</w:t>
      </w:r>
      <w:r>
        <w:rPr>
          <w:rFonts w:ascii="仿宋" w:hAnsi="仿宋" w:eastAsia="仿宋"/>
          <w:sz w:val="21"/>
          <w:szCs w:val="24"/>
        </w:rPr>
        <w:t>10</w:t>
      </w:r>
      <w:r>
        <w:rPr>
          <w:rFonts w:hint="eastAsia" w:ascii="仿宋" w:hAnsi="仿宋" w:eastAsia="仿宋"/>
          <w:sz w:val="21"/>
          <w:szCs w:val="24"/>
        </w:rPr>
        <w:t xml:space="preserve">  职业资格证书、职业技能等级证书一览表</w:t>
      </w:r>
    </w:p>
    <w:tbl>
      <w:tblPr>
        <w:tblStyle w:val="15"/>
        <w:tblW w:w="8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2410"/>
        <w:gridCol w:w="1843"/>
        <w:gridCol w:w="1275"/>
        <w:gridCol w:w="1276"/>
        <w:gridCol w:w="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5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考核项目</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考核发证部门</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等级要求</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考核学期</w:t>
            </w:r>
          </w:p>
        </w:tc>
        <w:tc>
          <w:tcPr>
            <w:tcW w:w="87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5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普通话</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山东省语言文字工作委员会</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二级</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ascii="仿宋" w:hAnsi="仿宋" w:eastAsia="仿宋"/>
                <w:sz w:val="21"/>
                <w:szCs w:val="24"/>
              </w:rPr>
              <w:t>1</w:t>
            </w:r>
            <w:r>
              <w:rPr>
                <w:rFonts w:hint="eastAsia" w:ascii="仿宋" w:hAnsi="仿宋" w:eastAsia="仿宋"/>
                <w:sz w:val="21"/>
                <w:szCs w:val="24"/>
              </w:rPr>
              <w:t>、</w:t>
            </w:r>
            <w:r>
              <w:rPr>
                <w:rFonts w:ascii="仿宋" w:hAnsi="仿宋" w:eastAsia="仿宋"/>
                <w:sz w:val="21"/>
                <w:szCs w:val="24"/>
              </w:rPr>
              <w:t>2</w:t>
            </w:r>
          </w:p>
        </w:tc>
        <w:tc>
          <w:tcPr>
            <w:tcW w:w="87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必考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5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大学英语等级考试证书</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教育部</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ascii="仿宋" w:hAnsi="仿宋" w:eastAsia="仿宋" w:cs="仿宋"/>
                <w:sz w:val="21"/>
                <w:szCs w:val="24"/>
              </w:rPr>
              <w:t>四级</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ascii="仿宋" w:hAnsi="仿宋" w:eastAsia="仿宋" w:cs="仿宋"/>
                <w:sz w:val="21"/>
                <w:szCs w:val="24"/>
              </w:rPr>
              <w:t>3</w:t>
            </w:r>
            <w:r>
              <w:rPr>
                <w:rFonts w:hint="eastAsia" w:ascii="仿宋" w:hAnsi="仿宋" w:eastAsia="仿宋" w:cs="仿宋"/>
                <w:sz w:val="21"/>
                <w:szCs w:val="24"/>
              </w:rPr>
              <w:t>、</w:t>
            </w:r>
            <w:r>
              <w:rPr>
                <w:rFonts w:ascii="仿宋" w:hAnsi="仿宋" w:eastAsia="仿宋"/>
                <w:sz w:val="21"/>
                <w:szCs w:val="24"/>
              </w:rPr>
              <w:t>4</w:t>
            </w:r>
            <w:r>
              <w:rPr>
                <w:rFonts w:hint="eastAsia" w:ascii="仿宋" w:hAnsi="仿宋" w:eastAsia="仿宋"/>
                <w:sz w:val="21"/>
                <w:szCs w:val="24"/>
              </w:rPr>
              <w:t>、5</w:t>
            </w:r>
          </w:p>
        </w:tc>
        <w:tc>
          <w:tcPr>
            <w:tcW w:w="87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5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计算机应用能力</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教育部考试中心</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一级</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ascii="仿宋" w:hAnsi="仿宋" w:eastAsia="仿宋" w:cs="仿宋"/>
                <w:sz w:val="21"/>
                <w:szCs w:val="24"/>
              </w:rPr>
              <w:t>2</w:t>
            </w:r>
            <w:r>
              <w:rPr>
                <w:rFonts w:hint="eastAsia" w:ascii="仿宋" w:hAnsi="仿宋" w:eastAsia="仿宋" w:cs="仿宋"/>
                <w:sz w:val="21"/>
                <w:szCs w:val="24"/>
              </w:rPr>
              <w:t>、</w:t>
            </w:r>
            <w:r>
              <w:rPr>
                <w:rFonts w:ascii="仿宋" w:hAnsi="仿宋" w:eastAsia="仿宋" w:cs="仿宋"/>
                <w:sz w:val="21"/>
                <w:szCs w:val="24"/>
              </w:rPr>
              <w:t>3</w:t>
            </w:r>
          </w:p>
        </w:tc>
        <w:tc>
          <w:tcPr>
            <w:tcW w:w="87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5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导游资格证</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文旅部</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中</w:t>
            </w:r>
            <w:r>
              <w:rPr>
                <w:rFonts w:ascii="仿宋" w:hAnsi="仿宋" w:eastAsia="仿宋" w:cs="仿宋"/>
                <w:sz w:val="21"/>
                <w:szCs w:val="24"/>
              </w:rPr>
              <w:t>/</w:t>
            </w:r>
            <w:r>
              <w:rPr>
                <w:rFonts w:hint="eastAsia" w:ascii="仿宋" w:hAnsi="仿宋" w:eastAsia="仿宋" w:cs="仿宋"/>
                <w:sz w:val="21"/>
                <w:szCs w:val="24"/>
              </w:rPr>
              <w:t>英文</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ascii="仿宋" w:hAnsi="仿宋" w:eastAsia="仿宋" w:cs="仿宋"/>
                <w:sz w:val="21"/>
                <w:szCs w:val="24"/>
              </w:rPr>
              <w:t>3</w:t>
            </w:r>
            <w:r>
              <w:rPr>
                <w:rFonts w:hint="eastAsia" w:ascii="仿宋" w:hAnsi="仿宋" w:eastAsia="仿宋" w:cs="仿宋"/>
                <w:sz w:val="21"/>
                <w:szCs w:val="24"/>
              </w:rPr>
              <w:t>、</w:t>
            </w:r>
            <w:r>
              <w:rPr>
                <w:rFonts w:ascii="仿宋" w:hAnsi="仿宋" w:eastAsia="仿宋" w:cs="仿宋"/>
                <w:sz w:val="21"/>
                <w:szCs w:val="24"/>
              </w:rPr>
              <w:t>4</w:t>
            </w:r>
            <w:r>
              <w:rPr>
                <w:rFonts w:hint="eastAsia" w:ascii="仿宋" w:hAnsi="仿宋" w:eastAsia="仿宋" w:cs="仿宋"/>
                <w:sz w:val="21"/>
                <w:szCs w:val="24"/>
              </w:rPr>
              <w:t>、5</w:t>
            </w:r>
          </w:p>
        </w:tc>
        <w:tc>
          <w:tcPr>
            <w:tcW w:w="87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5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商务英语证书</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教育部</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初级</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5</w:t>
            </w:r>
          </w:p>
        </w:tc>
        <w:tc>
          <w:tcPr>
            <w:tcW w:w="87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5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全国英语等级考试</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教育部</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三级</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ascii="仿宋" w:hAnsi="仿宋" w:eastAsia="仿宋" w:cs="仿宋"/>
                <w:sz w:val="21"/>
                <w:szCs w:val="24"/>
              </w:rPr>
              <w:t>2</w:t>
            </w:r>
            <w:r>
              <w:rPr>
                <w:rFonts w:hint="eastAsia" w:ascii="仿宋" w:hAnsi="仿宋" w:eastAsia="仿宋" w:cs="仿宋"/>
                <w:sz w:val="21"/>
                <w:szCs w:val="24"/>
              </w:rPr>
              <w:t>、</w:t>
            </w:r>
            <w:r>
              <w:rPr>
                <w:rFonts w:ascii="仿宋" w:hAnsi="仿宋" w:eastAsia="仿宋" w:cs="仿宋"/>
                <w:sz w:val="21"/>
                <w:szCs w:val="24"/>
              </w:rPr>
              <w:t>3</w:t>
            </w:r>
            <w:r>
              <w:rPr>
                <w:rFonts w:hint="eastAsia" w:ascii="仿宋" w:hAnsi="仿宋" w:eastAsia="仿宋" w:cs="仿宋"/>
                <w:sz w:val="21"/>
                <w:szCs w:val="24"/>
              </w:rPr>
              <w:t>、</w:t>
            </w:r>
            <w:r>
              <w:rPr>
                <w:rFonts w:ascii="仿宋" w:hAnsi="仿宋" w:eastAsia="仿宋" w:cs="仿宋"/>
                <w:sz w:val="21"/>
                <w:szCs w:val="24"/>
              </w:rPr>
              <w:t>4</w:t>
            </w:r>
          </w:p>
        </w:tc>
        <w:tc>
          <w:tcPr>
            <w:tcW w:w="87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sz w:val="21"/>
                <w:szCs w:val="24"/>
              </w:rPr>
            </w:pPr>
            <w:r>
              <w:rPr>
                <w:rFonts w:hint="eastAsia" w:ascii="仿宋" w:hAnsi="仿宋" w:eastAsia="仿宋" w:cs="仿宋"/>
                <w:sz w:val="21"/>
                <w:szCs w:val="24"/>
              </w:rP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5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 xml:space="preserve">1+X实用英语交际职业技能等级证书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教育部</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初、中级</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2、3、4</w:t>
            </w:r>
          </w:p>
        </w:tc>
        <w:tc>
          <w:tcPr>
            <w:tcW w:w="87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5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sz w:val="21"/>
                <w:szCs w:val="24"/>
              </w:rPr>
            </w:pPr>
            <w:r>
              <w:rPr>
                <w:rFonts w:hint="eastAsia" w:ascii="仿宋" w:hAnsi="仿宋" w:eastAsia="仿宋"/>
                <w:sz w:val="21"/>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1+X定制旅行管家服务职业技能等级证书</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教育部</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初、中级</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2、3、4</w:t>
            </w:r>
          </w:p>
        </w:tc>
        <w:tc>
          <w:tcPr>
            <w:tcW w:w="879" w:type="dxa"/>
            <w:tcBorders>
              <w:top w:val="single" w:color="auto" w:sz="4" w:space="0"/>
              <w:lef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z w:val="21"/>
                <w:szCs w:val="24"/>
              </w:rPr>
            </w:pPr>
            <w:r>
              <w:rPr>
                <w:rFonts w:hint="eastAsia" w:ascii="仿宋" w:hAnsi="仿宋" w:eastAsia="仿宋" w:cs="仿宋"/>
                <w:sz w:val="21"/>
                <w:szCs w:val="24"/>
              </w:rPr>
              <w:t>选考</w:t>
            </w:r>
          </w:p>
        </w:tc>
      </w:tr>
    </w:tbl>
    <w:p>
      <w:pPr>
        <w:overflowPunct w:val="0"/>
        <w:adjustRightInd w:val="0"/>
        <w:ind w:firstLine="640" w:firstLineChars="200"/>
        <w:outlineLvl w:val="0"/>
        <w:rPr>
          <w:rFonts w:eastAsia="黑体"/>
          <w:szCs w:val="32"/>
        </w:rPr>
      </w:pPr>
      <w:r>
        <w:rPr>
          <w:rFonts w:eastAsia="黑体"/>
          <w:szCs w:val="32"/>
        </w:rPr>
        <w:t>十、附录</w:t>
      </w:r>
    </w:p>
    <w:p>
      <w:pPr>
        <w:overflowPunct w:val="0"/>
        <w:adjustRightInd w:val="0"/>
        <w:ind w:firstLine="640" w:firstLineChars="200"/>
        <w:rPr>
          <w:rFonts w:eastAsia="方正仿宋简体"/>
        </w:rPr>
      </w:pPr>
      <w:r>
        <w:rPr>
          <w:rFonts w:eastAsia="方正仿宋简体"/>
        </w:rPr>
        <w:t>一般包括教学进程安排表、变更审批表等。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hMjk1NmNmMzUzNDZhYWQ4NmM2NzE4MzQ3ZDA1ZDMifQ=="/>
  </w:docVars>
  <w:rsids>
    <w:rsidRoot w:val="002756C2"/>
    <w:rsid w:val="00015B46"/>
    <w:rsid w:val="00031AEE"/>
    <w:rsid w:val="00056649"/>
    <w:rsid w:val="00081913"/>
    <w:rsid w:val="000E7227"/>
    <w:rsid w:val="0011372F"/>
    <w:rsid w:val="001E4EC8"/>
    <w:rsid w:val="002756C2"/>
    <w:rsid w:val="002A0604"/>
    <w:rsid w:val="002A2358"/>
    <w:rsid w:val="002D77B1"/>
    <w:rsid w:val="0030342A"/>
    <w:rsid w:val="00307012"/>
    <w:rsid w:val="003114A9"/>
    <w:rsid w:val="00347C04"/>
    <w:rsid w:val="003A639A"/>
    <w:rsid w:val="003D5E4C"/>
    <w:rsid w:val="0048081B"/>
    <w:rsid w:val="004F3675"/>
    <w:rsid w:val="0055410F"/>
    <w:rsid w:val="005572C8"/>
    <w:rsid w:val="00564279"/>
    <w:rsid w:val="00631FE9"/>
    <w:rsid w:val="00644AFD"/>
    <w:rsid w:val="0067587C"/>
    <w:rsid w:val="00692BB4"/>
    <w:rsid w:val="006A572D"/>
    <w:rsid w:val="00700D2F"/>
    <w:rsid w:val="00730328"/>
    <w:rsid w:val="007353BC"/>
    <w:rsid w:val="007634E6"/>
    <w:rsid w:val="0078435D"/>
    <w:rsid w:val="00793D30"/>
    <w:rsid w:val="00797792"/>
    <w:rsid w:val="007A05BB"/>
    <w:rsid w:val="00850E43"/>
    <w:rsid w:val="008B5CE9"/>
    <w:rsid w:val="00A95B3A"/>
    <w:rsid w:val="00AC776D"/>
    <w:rsid w:val="00AE2AE0"/>
    <w:rsid w:val="00B457E3"/>
    <w:rsid w:val="00B81279"/>
    <w:rsid w:val="00B85284"/>
    <w:rsid w:val="00B97C08"/>
    <w:rsid w:val="00D50EA9"/>
    <w:rsid w:val="00DC1CE3"/>
    <w:rsid w:val="00E07296"/>
    <w:rsid w:val="00E62E23"/>
    <w:rsid w:val="00E93CA0"/>
    <w:rsid w:val="00EB17E6"/>
    <w:rsid w:val="00FB1C1D"/>
    <w:rsid w:val="00FC1B7D"/>
    <w:rsid w:val="038B1509"/>
    <w:rsid w:val="03FD6928"/>
    <w:rsid w:val="24491D1E"/>
    <w:rsid w:val="419B05C1"/>
    <w:rsid w:val="4B7122DD"/>
    <w:rsid w:val="78C4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3"/>
    <w:qFormat/>
    <w:uiPriority w:val="99"/>
    <w:pPr>
      <w:keepNext/>
      <w:keepLines/>
      <w:spacing w:before="340" w:after="330" w:line="240" w:lineRule="atLeast"/>
      <w:ind w:firstLine="880" w:firstLineChars="200"/>
      <w:outlineLvl w:val="0"/>
    </w:pPr>
    <w:rPr>
      <w:rFonts w:eastAsia="宋体"/>
      <w:b/>
      <w:bCs/>
      <w:kern w:val="44"/>
      <w:sz w:val="44"/>
      <w:szCs w:val="44"/>
    </w:rPr>
  </w:style>
  <w:style w:type="paragraph" w:styleId="3">
    <w:name w:val="heading 2"/>
    <w:basedOn w:val="1"/>
    <w:next w:val="1"/>
    <w:link w:val="24"/>
    <w:unhideWhenUsed/>
    <w:qFormat/>
    <w:uiPriority w:val="0"/>
    <w:pPr>
      <w:keepNext/>
      <w:keepLines/>
      <w:spacing w:before="120" w:after="120" w:line="160" w:lineRule="atLeast"/>
      <w:ind w:firstLine="200" w:firstLineChars="200"/>
      <w:outlineLvl w:val="1"/>
    </w:pPr>
    <w:rPr>
      <w:rFonts w:ascii="Arial" w:hAnsi="Arial" w:eastAsia="黑体"/>
      <w:b/>
      <w:sz w:val="28"/>
      <w:szCs w:val="24"/>
    </w:rPr>
  </w:style>
  <w:style w:type="paragraph" w:styleId="4">
    <w:name w:val="heading 3"/>
    <w:basedOn w:val="1"/>
    <w:next w:val="1"/>
    <w:link w:val="25"/>
    <w:unhideWhenUsed/>
    <w:qFormat/>
    <w:uiPriority w:val="99"/>
    <w:pPr>
      <w:keepNext/>
      <w:keepLines/>
      <w:spacing w:before="260" w:after="260" w:line="416" w:lineRule="auto"/>
      <w:outlineLvl w:val="2"/>
    </w:pPr>
    <w:rPr>
      <w:rFonts w:eastAsia="宋体"/>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link w:val="44"/>
    <w:semiHidden/>
    <w:unhideWhenUsed/>
    <w:uiPriority w:val="99"/>
    <w:pPr>
      <w:jc w:val="left"/>
    </w:pPr>
    <w:rPr>
      <w:rFonts w:eastAsia="宋体"/>
      <w:sz w:val="21"/>
      <w:szCs w:val="24"/>
    </w:rPr>
  </w:style>
  <w:style w:type="paragraph" w:styleId="6">
    <w:name w:val="Plain Text"/>
    <w:basedOn w:val="1"/>
    <w:link w:val="26"/>
    <w:qFormat/>
    <w:uiPriority w:val="99"/>
    <w:rPr>
      <w:rFonts w:ascii="宋体" w:hAnsi="Courier New" w:eastAsia="宋体" w:cs="Courier New"/>
      <w:sz w:val="21"/>
      <w:szCs w:val="21"/>
    </w:rPr>
  </w:style>
  <w:style w:type="paragraph" w:styleId="7">
    <w:name w:val="Balloon Text"/>
    <w:basedOn w:val="1"/>
    <w:link w:val="27"/>
    <w:qFormat/>
    <w:uiPriority w:val="99"/>
    <w:rPr>
      <w:rFonts w:eastAsia="宋体"/>
      <w:sz w:val="18"/>
      <w:szCs w:val="18"/>
    </w:rPr>
  </w:style>
  <w:style w:type="paragraph" w:styleId="8">
    <w:name w:val="footer"/>
    <w:basedOn w:val="1"/>
    <w:link w:val="28"/>
    <w:qFormat/>
    <w:uiPriority w:val="99"/>
    <w:pPr>
      <w:tabs>
        <w:tab w:val="center" w:pos="4153"/>
        <w:tab w:val="right" w:pos="8306"/>
      </w:tabs>
      <w:snapToGrid w:val="0"/>
      <w:jc w:val="left"/>
    </w:pPr>
    <w:rPr>
      <w:rFonts w:eastAsia="宋体"/>
      <w:sz w:val="18"/>
      <w:szCs w:val="18"/>
    </w:rPr>
  </w:style>
  <w:style w:type="paragraph" w:styleId="9">
    <w:name w:val="header"/>
    <w:basedOn w:val="1"/>
    <w:link w:val="29"/>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0">
    <w:name w:val="toc 1"/>
    <w:basedOn w:val="1"/>
    <w:next w:val="1"/>
    <w:qFormat/>
    <w:uiPriority w:val="99"/>
    <w:rPr>
      <w:rFonts w:eastAsia="宋体"/>
      <w:sz w:val="21"/>
      <w:szCs w:val="24"/>
    </w:rPr>
  </w:style>
  <w:style w:type="paragraph" w:styleId="11">
    <w:name w:val="footnote text"/>
    <w:basedOn w:val="1"/>
    <w:link w:val="30"/>
    <w:qFormat/>
    <w:uiPriority w:val="99"/>
    <w:pPr>
      <w:widowControl/>
      <w:snapToGrid w:val="0"/>
      <w:jc w:val="left"/>
    </w:pPr>
    <w:rPr>
      <w:rFonts w:ascii="宋体" w:hAnsi="宋体" w:eastAsia="宋体" w:cs="宋体"/>
      <w:kern w:val="0"/>
      <w:sz w:val="18"/>
      <w:szCs w:val="18"/>
    </w:rPr>
  </w:style>
  <w:style w:type="paragraph" w:styleId="12">
    <w:name w:val="toc 2"/>
    <w:basedOn w:val="1"/>
    <w:next w:val="1"/>
    <w:qFormat/>
    <w:uiPriority w:val="99"/>
    <w:pPr>
      <w:ind w:left="420" w:leftChars="200"/>
    </w:pPr>
    <w:rPr>
      <w:rFonts w:eastAsia="宋体"/>
      <w:sz w:val="21"/>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45"/>
    <w:semiHidden/>
    <w:unhideWhenUsed/>
    <w:qFormat/>
    <w:uiPriority w:val="99"/>
    <w:rPr>
      <w:b/>
      <w:bCs/>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333333"/>
      <w:u w:val="none"/>
    </w:rPr>
  </w:style>
  <w:style w:type="character" w:styleId="20">
    <w:name w:val="annotation reference"/>
    <w:basedOn w:val="17"/>
    <w:semiHidden/>
    <w:unhideWhenUsed/>
    <w:qFormat/>
    <w:uiPriority w:val="99"/>
    <w:rPr>
      <w:sz w:val="21"/>
      <w:szCs w:val="21"/>
    </w:rPr>
  </w:style>
  <w:style w:type="character" w:styleId="21">
    <w:name w:val="footnote reference"/>
    <w:basedOn w:val="17"/>
    <w:qFormat/>
    <w:uiPriority w:val="99"/>
    <w:rPr>
      <w:rFonts w:cs="Times New Roman"/>
      <w:vertAlign w:val="superscript"/>
    </w:rPr>
  </w:style>
  <w:style w:type="paragraph" w:customStyle="1" w:styleId="22">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23">
    <w:name w:val="标题 1 字符"/>
    <w:basedOn w:val="17"/>
    <w:link w:val="2"/>
    <w:qFormat/>
    <w:uiPriority w:val="99"/>
    <w:rPr>
      <w:rFonts w:ascii="Times New Roman" w:hAnsi="Times New Roman" w:eastAsia="宋体" w:cs="Times New Roman"/>
      <w:b/>
      <w:bCs/>
      <w:kern w:val="44"/>
      <w:sz w:val="44"/>
      <w:szCs w:val="44"/>
    </w:rPr>
  </w:style>
  <w:style w:type="character" w:customStyle="1" w:styleId="24">
    <w:name w:val="标题 2 字符"/>
    <w:basedOn w:val="17"/>
    <w:link w:val="3"/>
    <w:qFormat/>
    <w:uiPriority w:val="0"/>
    <w:rPr>
      <w:rFonts w:ascii="Arial" w:hAnsi="Arial" w:eastAsia="黑体" w:cs="Times New Roman"/>
      <w:b/>
      <w:sz w:val="28"/>
      <w:szCs w:val="24"/>
    </w:rPr>
  </w:style>
  <w:style w:type="character" w:customStyle="1" w:styleId="25">
    <w:name w:val="标题 3 字符"/>
    <w:basedOn w:val="17"/>
    <w:link w:val="4"/>
    <w:qFormat/>
    <w:uiPriority w:val="99"/>
    <w:rPr>
      <w:rFonts w:ascii="Times New Roman" w:hAnsi="Times New Roman" w:eastAsia="宋体" w:cs="Times New Roman"/>
      <w:b/>
      <w:bCs/>
      <w:sz w:val="32"/>
      <w:szCs w:val="32"/>
    </w:rPr>
  </w:style>
  <w:style w:type="character" w:customStyle="1" w:styleId="26">
    <w:name w:val="纯文本 字符"/>
    <w:basedOn w:val="17"/>
    <w:link w:val="6"/>
    <w:qFormat/>
    <w:uiPriority w:val="99"/>
    <w:rPr>
      <w:rFonts w:ascii="宋体" w:hAnsi="Courier New" w:eastAsia="宋体" w:cs="Courier New"/>
      <w:szCs w:val="21"/>
    </w:rPr>
  </w:style>
  <w:style w:type="character" w:customStyle="1" w:styleId="27">
    <w:name w:val="批注框文本 字符"/>
    <w:basedOn w:val="17"/>
    <w:link w:val="7"/>
    <w:qFormat/>
    <w:uiPriority w:val="99"/>
    <w:rPr>
      <w:rFonts w:ascii="Times New Roman" w:hAnsi="Times New Roman" w:eastAsia="宋体" w:cs="Times New Roman"/>
      <w:sz w:val="18"/>
      <w:szCs w:val="18"/>
    </w:rPr>
  </w:style>
  <w:style w:type="character" w:customStyle="1" w:styleId="28">
    <w:name w:val="页脚 字符"/>
    <w:basedOn w:val="17"/>
    <w:link w:val="8"/>
    <w:qFormat/>
    <w:uiPriority w:val="99"/>
    <w:rPr>
      <w:rFonts w:ascii="Times New Roman" w:hAnsi="Times New Roman" w:eastAsia="宋体" w:cs="Times New Roman"/>
      <w:sz w:val="18"/>
      <w:szCs w:val="18"/>
    </w:rPr>
  </w:style>
  <w:style w:type="character" w:customStyle="1" w:styleId="29">
    <w:name w:val="页眉 字符"/>
    <w:basedOn w:val="17"/>
    <w:link w:val="9"/>
    <w:qFormat/>
    <w:uiPriority w:val="99"/>
    <w:rPr>
      <w:rFonts w:ascii="Times New Roman" w:hAnsi="Times New Roman" w:eastAsia="宋体" w:cs="Times New Roman"/>
      <w:sz w:val="18"/>
      <w:szCs w:val="18"/>
    </w:rPr>
  </w:style>
  <w:style w:type="character" w:customStyle="1" w:styleId="30">
    <w:name w:val="脚注文本 字符"/>
    <w:basedOn w:val="17"/>
    <w:link w:val="11"/>
    <w:qFormat/>
    <w:uiPriority w:val="99"/>
    <w:rPr>
      <w:rFonts w:ascii="宋体" w:hAnsi="宋体" w:eastAsia="宋体" w:cs="宋体"/>
      <w:kern w:val="0"/>
      <w:sz w:val="18"/>
      <w:szCs w:val="18"/>
    </w:rPr>
  </w:style>
  <w:style w:type="paragraph" w:customStyle="1" w:styleId="31">
    <w:name w:val="Char Char Char Char"/>
    <w:basedOn w:val="1"/>
    <w:semiHidden/>
    <w:qFormat/>
    <w:uiPriority w:val="99"/>
    <w:pPr>
      <w:widowControl/>
      <w:spacing w:after="160" w:line="240" w:lineRule="exact"/>
      <w:jc w:val="left"/>
    </w:pPr>
    <w:rPr>
      <w:rFonts w:ascii="Verdana" w:hAnsi="Verdana" w:eastAsia="宋体"/>
      <w:kern w:val="0"/>
      <w:sz w:val="20"/>
      <w:szCs w:val="20"/>
      <w:lang w:eastAsia="en-US"/>
    </w:rPr>
  </w:style>
  <w:style w:type="paragraph" w:customStyle="1" w:styleId="32">
    <w:name w:val="样式1"/>
    <w:basedOn w:val="1"/>
    <w:qFormat/>
    <w:uiPriority w:val="99"/>
    <w:rPr>
      <w:rFonts w:eastAsia="宋体"/>
      <w:sz w:val="21"/>
      <w:szCs w:val="24"/>
    </w:rPr>
  </w:style>
  <w:style w:type="paragraph" w:customStyle="1" w:styleId="33">
    <w:name w:val="1114"/>
    <w:basedOn w:val="11"/>
    <w:qFormat/>
    <w:uiPriority w:val="99"/>
    <w:pPr>
      <w:widowControl w:val="0"/>
      <w:spacing w:line="400" w:lineRule="exact"/>
      <w:ind w:firstLine="480" w:firstLineChars="200"/>
      <w:jc w:val="both"/>
    </w:pPr>
    <w:rPr>
      <w:rFonts w:cs="Courier New"/>
      <w:color w:val="000000"/>
      <w:kern w:val="2"/>
      <w:sz w:val="24"/>
      <w:szCs w:val="24"/>
    </w:rPr>
  </w:style>
  <w:style w:type="paragraph" w:customStyle="1" w:styleId="34">
    <w:name w:val="1112"/>
    <w:basedOn w:val="1"/>
    <w:link w:val="35"/>
    <w:qFormat/>
    <w:uiPriority w:val="99"/>
    <w:pPr>
      <w:spacing w:before="260" w:after="120"/>
    </w:pPr>
    <w:rPr>
      <w:rFonts w:eastAsia="宋体"/>
      <w:b/>
      <w:color w:val="000000"/>
      <w:sz w:val="28"/>
      <w:szCs w:val="20"/>
    </w:rPr>
  </w:style>
  <w:style w:type="character" w:customStyle="1" w:styleId="35">
    <w:name w:val="1112 Char"/>
    <w:link w:val="34"/>
    <w:qFormat/>
    <w:locked/>
    <w:uiPriority w:val="99"/>
    <w:rPr>
      <w:rFonts w:ascii="Times New Roman" w:hAnsi="Times New Roman" w:eastAsia="宋体" w:cs="Times New Roman"/>
      <w:b/>
      <w:color w:val="000000"/>
      <w:sz w:val="28"/>
      <w:szCs w:val="20"/>
    </w:rPr>
  </w:style>
  <w:style w:type="paragraph" w:customStyle="1" w:styleId="36">
    <w:name w:val="图表名称"/>
    <w:basedOn w:val="1"/>
    <w:qFormat/>
    <w:uiPriority w:val="99"/>
    <w:pPr>
      <w:spacing w:beforeLines="50" w:afterLines="50"/>
      <w:jc w:val="center"/>
    </w:pPr>
    <w:rPr>
      <w:rFonts w:eastAsia="宋体"/>
      <w:sz w:val="21"/>
      <w:szCs w:val="21"/>
    </w:rPr>
  </w:style>
  <w:style w:type="paragraph" w:customStyle="1" w:styleId="37">
    <w:name w:val="0正文"/>
    <w:basedOn w:val="1"/>
    <w:link w:val="38"/>
    <w:qFormat/>
    <w:uiPriority w:val="99"/>
    <w:pPr>
      <w:spacing w:line="520" w:lineRule="exact"/>
      <w:ind w:firstLine="200" w:firstLineChars="200"/>
    </w:pPr>
    <w:rPr>
      <w:rFonts w:eastAsia="宋体"/>
      <w:kern w:val="0"/>
      <w:sz w:val="24"/>
      <w:szCs w:val="20"/>
    </w:rPr>
  </w:style>
  <w:style w:type="character" w:customStyle="1" w:styleId="38">
    <w:name w:val="0正文 Char"/>
    <w:link w:val="37"/>
    <w:qFormat/>
    <w:locked/>
    <w:uiPriority w:val="99"/>
    <w:rPr>
      <w:rFonts w:ascii="Times New Roman" w:hAnsi="Times New Roman" w:eastAsia="宋体" w:cs="Times New Roman"/>
      <w:kern w:val="0"/>
      <w:sz w:val="24"/>
      <w:szCs w:val="20"/>
    </w:rPr>
  </w:style>
  <w:style w:type="paragraph" w:styleId="39">
    <w:name w:val="List Paragraph"/>
    <w:basedOn w:val="1"/>
    <w:unhideWhenUsed/>
    <w:qFormat/>
    <w:uiPriority w:val="99"/>
    <w:pPr>
      <w:ind w:firstLine="420" w:firstLineChars="200"/>
    </w:pPr>
    <w:rPr>
      <w:rFonts w:eastAsia="宋体"/>
      <w:sz w:val="21"/>
      <w:szCs w:val="24"/>
    </w:rPr>
  </w:style>
  <w:style w:type="character" w:customStyle="1" w:styleId="40">
    <w:name w:val="apple-converted-space"/>
    <w:basedOn w:val="17"/>
    <w:qFormat/>
    <w:uiPriority w:val="99"/>
  </w:style>
  <w:style w:type="paragraph" w:customStyle="1" w:styleId="41">
    <w:name w:val="style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2">
    <w:name w:val="TOC 标题1"/>
    <w:basedOn w:val="2"/>
    <w:next w:val="1"/>
    <w:qFormat/>
    <w:uiPriority w:val="99"/>
    <w:pPr>
      <w:widowControl/>
      <w:spacing w:before="480" w:after="0" w:line="276" w:lineRule="auto"/>
      <w:ind w:firstLine="0" w:firstLineChars="0"/>
      <w:jc w:val="left"/>
      <w:outlineLvl w:val="9"/>
    </w:pPr>
    <w:rPr>
      <w:rFonts w:ascii="Cambria" w:hAnsi="Cambria" w:cs="Cambria"/>
      <w:color w:val="365F91"/>
      <w:kern w:val="0"/>
      <w:sz w:val="28"/>
      <w:szCs w:val="28"/>
    </w:rPr>
  </w:style>
  <w:style w:type="paragraph" w:customStyle="1" w:styleId="43">
    <w:name w:val="TOC Heading1"/>
    <w:basedOn w:val="2"/>
    <w:next w:val="1"/>
    <w:qFormat/>
    <w:uiPriority w:val="99"/>
    <w:pPr>
      <w:widowControl/>
      <w:spacing w:before="480" w:after="0" w:line="276" w:lineRule="auto"/>
      <w:ind w:firstLine="0" w:firstLineChars="0"/>
      <w:jc w:val="left"/>
      <w:outlineLvl w:val="9"/>
    </w:pPr>
    <w:rPr>
      <w:rFonts w:ascii="Cambria" w:hAnsi="Cambria" w:cs="Cambria"/>
      <w:color w:val="365F91"/>
      <w:kern w:val="0"/>
      <w:sz w:val="28"/>
      <w:szCs w:val="28"/>
    </w:rPr>
  </w:style>
  <w:style w:type="character" w:customStyle="1" w:styleId="44">
    <w:name w:val="批注文字 字符"/>
    <w:basedOn w:val="17"/>
    <w:link w:val="5"/>
    <w:semiHidden/>
    <w:qFormat/>
    <w:uiPriority w:val="99"/>
    <w:rPr>
      <w:rFonts w:ascii="Times New Roman" w:hAnsi="Times New Roman" w:eastAsia="宋体" w:cs="Times New Roman"/>
      <w:szCs w:val="24"/>
    </w:rPr>
  </w:style>
  <w:style w:type="character" w:customStyle="1" w:styleId="45">
    <w:name w:val="批注主题 字符"/>
    <w:basedOn w:val="44"/>
    <w:link w:val="14"/>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11759</Words>
  <Characters>12619</Characters>
  <Lines>95</Lines>
  <Paragraphs>26</Paragraphs>
  <TotalTime>46</TotalTime>
  <ScaleCrop>false</ScaleCrop>
  <LinksUpToDate>false</LinksUpToDate>
  <CharactersWithSpaces>12639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2022-08-13T15:47:00Z</dcterms:created>
  <dc:creator>USER</dc:creator>
  <cp:lastModifiedBy>Kiki</cp:lastModifiedBy>
  <dcterms:modified xsi:type="dcterms:W3CDTF">2022-08-14T11:11:49Z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E85C27B4C51344089513A96B07ACAC99</vt:lpwstr>
  </property>
</Properties>
</file>