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006" w:rsidRDefault="00A22006" w:rsidP="002909D9">
      <w:pPr>
        <w:jc w:val="center"/>
        <w:rPr>
          <w:rFonts w:ascii="华文宋体" w:eastAsia="华文宋体"/>
          <w:b/>
          <w:color w:val="FF0000"/>
          <w:spacing w:val="20"/>
          <w:w w:val="80"/>
          <w:sz w:val="84"/>
          <w:szCs w:val="84"/>
        </w:rPr>
      </w:pPr>
    </w:p>
    <w:p w:rsidR="00A22006" w:rsidRPr="00A56ADD" w:rsidRDefault="00A22006" w:rsidP="002909D9">
      <w:pPr>
        <w:jc w:val="center"/>
        <w:rPr>
          <w:rFonts w:ascii="宋体" w:eastAsia="宋体" w:hAnsi="宋体"/>
          <w:b/>
          <w:color w:val="FF0000"/>
          <w:w w:val="70"/>
          <w:sz w:val="120"/>
          <w:szCs w:val="120"/>
        </w:rPr>
      </w:pPr>
      <w:r w:rsidRPr="00A56ADD">
        <w:rPr>
          <w:rFonts w:ascii="宋体" w:eastAsia="宋体" w:hAnsi="宋体" w:hint="eastAsia"/>
          <w:b/>
          <w:color w:val="FF0000"/>
          <w:w w:val="70"/>
          <w:sz w:val="120"/>
          <w:szCs w:val="120"/>
        </w:rPr>
        <w:t>山东旅游职业学院文件</w:t>
      </w:r>
    </w:p>
    <w:p w:rsidR="00A22006" w:rsidRPr="00983848" w:rsidRDefault="00A22006" w:rsidP="002909D9">
      <w:pPr>
        <w:jc w:val="center"/>
        <w:rPr>
          <w:rFonts w:ascii="华文宋体" w:eastAsia="华文宋体"/>
          <w:b/>
          <w:color w:val="FF0000"/>
          <w:spacing w:val="20"/>
          <w:w w:val="80"/>
          <w:szCs w:val="21"/>
        </w:rPr>
      </w:pPr>
    </w:p>
    <w:p w:rsidR="00A22006" w:rsidRPr="00A22006" w:rsidRDefault="00A22006" w:rsidP="002909D9">
      <w:pPr>
        <w:jc w:val="center"/>
        <w:rPr>
          <w:rFonts w:ascii="仿宋_GB2312" w:eastAsia="仿宋_GB2312"/>
          <w:sz w:val="32"/>
        </w:rPr>
      </w:pPr>
      <w:r w:rsidRPr="00A22006">
        <w:rPr>
          <w:rFonts w:ascii="仿宋_GB2312" w:eastAsia="仿宋_GB2312" w:hint="eastAsia"/>
          <w:sz w:val="32"/>
        </w:rPr>
        <w:t>鲁旅职院发 〔2021〕 38 号</w:t>
      </w:r>
    </w:p>
    <w:p w:rsidR="00A22006" w:rsidRPr="00F426B7" w:rsidRDefault="00A22006" w:rsidP="00F426B7">
      <w:pPr>
        <w:jc w:val="center"/>
        <w:rPr>
          <w:rFonts w:ascii="仿宋_GB2312" w:eastAsia="仿宋_GB2312"/>
          <w:sz w:val="32"/>
          <w:szCs w:val="30"/>
        </w:rPr>
      </w:pPr>
      <w:r w:rsidRPr="00A22006">
        <w:rPr>
          <w:rFonts w:ascii="仿宋_GB2312" w:eastAsia="仿宋_GB2312"/>
          <w:noProof/>
          <w:sz w:val="3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FEB42F4" wp14:editId="5F748153">
                <wp:simplePos x="0" y="0"/>
                <wp:positionH relativeFrom="column">
                  <wp:posOffset>49530</wp:posOffset>
                </wp:positionH>
                <wp:positionV relativeFrom="paragraph">
                  <wp:posOffset>160019</wp:posOffset>
                </wp:positionV>
                <wp:extent cx="5488305" cy="0"/>
                <wp:effectExtent l="0" t="19050" r="3619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830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F890647" id="直接连接符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9pt,12.6pt" to="436.0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" strokecolor="red" strokeweight="3pt">
                <o:lock v:ext="edit" shapetype="f"/>
              </v:line>
            </w:pict>
          </mc:Fallback>
        </mc:AlternateContent>
      </w:r>
    </w:p>
    <w:p w:rsidR="00A22006" w:rsidRDefault="00A220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关于印发《山东旅游职业学院学术评价专家库建设管理办法》的通知</w:t>
      </w:r>
    </w:p>
    <w:p w:rsidR="00A22006" w:rsidRPr="00F426B7" w:rsidRDefault="00A2200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22006" w:rsidRDefault="00A2200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各处（室）、系（部）、中心：</w:t>
      </w:r>
    </w:p>
    <w:p w:rsidR="00A22006" w:rsidRDefault="00A22006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为树立学院科研质量评价导向，提高科研成果质量，建立科学的学术评价标准，避免专家评审中的非客观性。特制定《山东旅游职业学院学术评价专家库建设管理办法》，现予以印发，请遵照执行。</w:t>
      </w:r>
    </w:p>
    <w:p w:rsidR="00A22006" w:rsidRDefault="00A220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</w:t>
      </w:r>
    </w:p>
    <w:p w:rsidR="00A22006" w:rsidRDefault="00A2200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</w:t>
      </w:r>
    </w:p>
    <w:p w:rsidR="00A22006" w:rsidRDefault="00A2200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 xml:space="preserve">   山东旅游职业学院</w:t>
      </w:r>
    </w:p>
    <w:p w:rsidR="00A22006" w:rsidRDefault="00A22006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2021年5月12日</w:t>
      </w:r>
    </w:p>
    <w:p w:rsidR="00A22006" w:rsidRDefault="00A22006" w:rsidP="00F426B7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p w:rsidR="00F426B7" w:rsidRDefault="00F426B7" w:rsidP="00F426B7"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 w:rsidR="00A22006" w:rsidRDefault="00A220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山东旅游职业学院学术评价专家库</w:t>
      </w:r>
    </w:p>
    <w:p w:rsidR="00A22006" w:rsidRDefault="00A2200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建设管理办法</w:t>
      </w:r>
    </w:p>
    <w:p w:rsidR="00A22006" w:rsidRDefault="00A22006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A22006" w:rsidRDefault="00A2200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sz w:val="44"/>
          <w:szCs w:val="44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="仿宋_GB2312" w:eastAsia="仿宋_GB2312" w:hAnsiTheme="minorEastAsia" w:hint="eastAsia"/>
          <w:sz w:val="32"/>
          <w:szCs w:val="32"/>
        </w:rPr>
        <w:t>根据中共中央、国务院印发的《深化新时代教育评价改革总体方案》对新时代高校教师科研评价工作提出的新要求, 为了解决学院校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内专家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数量不足，避免专家评审的中的非客观性，突出行业专家在科研评价中的主导地位,积极推进科研评价制度改革，切实提升学院的科研创新质量，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科研处拟建立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 xml:space="preserve">学术评价专家库，制定建设管理办法如下: </w:t>
      </w:r>
    </w:p>
    <w:p w:rsidR="00A22006" w:rsidRDefault="00A2200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一、专家库建设目标</w:t>
      </w:r>
    </w:p>
    <w:p w:rsidR="00A22006" w:rsidRDefault="00A2200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树立科研质量评价导向，健全分类评价、代表作评价、同行评价、团队评价、长周期评价和发展性评价制度，加强科研诚信，全面优化学术生态，以学术质量和社会效益作为学术评价的重要标准，建立有利于潜心研究和创新创造的科研评价制度，培育更多具有自身特色的人才，服务于经济社会发展。</w:t>
      </w:r>
    </w:p>
    <w:p w:rsidR="00A22006" w:rsidRDefault="00A2200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二、专家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库人员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组成</w:t>
      </w:r>
    </w:p>
    <w:p w:rsidR="00A22006" w:rsidRDefault="00A2200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专家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库成员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由60人组成，其中校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内专家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20人，校外专家40人；校外专家中来自高等职业教育领域或文化旅游领域的专家学者15人，来自高等院校教科研机构管理人员10人，来自文化旅游行业企事业单位从业人员15人。</w:t>
      </w:r>
    </w:p>
    <w:p w:rsidR="00A22006" w:rsidRDefault="00A2200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三、专家资格及条件</w:t>
      </w:r>
    </w:p>
    <w:p w:rsidR="00A22006" w:rsidRDefault="00A2200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 （一）基本条件</w:t>
      </w:r>
    </w:p>
    <w:p w:rsidR="00A22006" w:rsidRDefault="00A2200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 xml:space="preserve">   1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 xml:space="preserve">政治立场坚定,思想作风正派,能够认真、公正、诚实、廉洁地履行职责，无不良记录; </w:t>
      </w:r>
    </w:p>
    <w:p w:rsidR="00A22006" w:rsidRDefault="00A2200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2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熟悉科研或文化旅游领域的政策法规及相关制度,有科研或文化旅游领域的学术背景或从业经历；</w:t>
      </w:r>
    </w:p>
    <w:p w:rsidR="00A22006" w:rsidRDefault="00A2200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3</w:t>
      </w:r>
      <w:r>
        <w:rPr>
          <w:rFonts w:ascii="仿宋_GB2312" w:eastAsia="仿宋_GB2312" w:hAnsiTheme="minorEastAsia"/>
          <w:sz w:val="32"/>
          <w:szCs w:val="32"/>
        </w:rPr>
        <w:t>.</w:t>
      </w:r>
      <w:r>
        <w:rPr>
          <w:rFonts w:ascii="仿宋_GB2312" w:eastAsia="仿宋_GB2312" w:hAnsiTheme="minorEastAsia" w:hint="eastAsia"/>
          <w:sz w:val="32"/>
          <w:szCs w:val="32"/>
        </w:rPr>
        <w:t>年龄60岁以下，身体健康，能够承担学院委派的科研评价工作。</w:t>
      </w:r>
    </w:p>
    <w:p w:rsidR="00A22006" w:rsidRDefault="00A2200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（二）来自院校专家学者须具有高级职称或者具有博士学历，在科研方面取得一定的学术成果。</w:t>
      </w:r>
    </w:p>
    <w:p w:rsidR="00A22006" w:rsidRDefault="00A2200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（三）来自科研机构管理人员应自身长期从事科研相关工作，具有科研管理工作岗位六年以上经历。</w:t>
      </w:r>
    </w:p>
    <w:p w:rsidR="00A22006" w:rsidRDefault="00A2200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（四）来自文旅行业企事业人员应具有高级职业资格证书，或从事中层管理岗位工作三年以上经历。</w:t>
      </w:r>
    </w:p>
    <w:p w:rsidR="00A22006" w:rsidRDefault="00A22006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四、专家遴选办法</w:t>
      </w:r>
    </w:p>
    <w:p w:rsidR="00A22006" w:rsidRDefault="00A2200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（一）推荐渠道:学术评价专家库校内专家由各系部推荐；校外专家中高校教科研机构管理人员分别由科研处、教务处推荐；高等职业教育领域或文化旅游领域的专家、文化旅游行业从业人员由科研处、教务处及各系部共同推荐。 </w:t>
      </w:r>
    </w:p>
    <w:p w:rsidR="00A22006" w:rsidRDefault="00A2200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（二）填表审核:各部门推荐专家要认真填写《山东旅游职业学院学术评价专家推荐表》，由科研处汇总专家信息，由院学术委员会审核确定后报院办公会审议。</w:t>
      </w:r>
    </w:p>
    <w:p w:rsidR="00A22006" w:rsidRDefault="00A2200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 （三）专家入库：经院办公会审议确定的专家人选，科研处进行公示，公示期结束后，学院颁发聘任证书，并纳入山东旅游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职业学院学术评价专家库。</w:t>
      </w:r>
    </w:p>
    <w:p w:rsidR="00A22006" w:rsidRDefault="00A22006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 xml:space="preserve">  （四）聘期管理：专家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库成员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聘期为三年，聘期结束后，科研处根据专家任期情况重新选择聘任，专家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库成员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更新比例为30%。参加学院科研项目学术评价时，科研处根据项目要求从专家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库成员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采取随机抽取方式组成，专家评审</w:t>
      </w:r>
      <w:proofErr w:type="gramStart"/>
      <w:r>
        <w:rPr>
          <w:rFonts w:ascii="仿宋_GB2312" w:eastAsia="仿宋_GB2312" w:hAnsiTheme="minorEastAsia" w:hint="eastAsia"/>
          <w:sz w:val="32"/>
          <w:szCs w:val="32"/>
        </w:rPr>
        <w:t>费按照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>财务有关规定执行。</w:t>
      </w:r>
    </w:p>
    <w:p w:rsidR="00A22006" w:rsidRDefault="00A22006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本办法由学院科研处负责解释。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 w:hint="eastAsia"/>
          <w:sz w:val="32"/>
          <w:szCs w:val="32"/>
        </w:rPr>
      </w:pPr>
    </w:p>
    <w:p w:rsidR="00F426B7" w:rsidRDefault="00F426B7" w:rsidP="00F426B7">
      <w:pPr>
        <w:spacing w:line="560" w:lineRule="exact"/>
        <w:ind w:firstLine="564"/>
        <w:rPr>
          <w:rFonts w:ascii="仿宋_GB2312" w:eastAsia="仿宋_GB2312" w:hAnsiTheme="minorEastAsia"/>
          <w:sz w:val="32"/>
          <w:szCs w:val="32"/>
        </w:rPr>
      </w:pPr>
    </w:p>
    <w:p w:rsidR="00A22006" w:rsidRPr="00F426B7" w:rsidRDefault="00A22006" w:rsidP="00F426B7">
      <w:pPr>
        <w:pBdr>
          <w:top w:val="single" w:sz="12" w:space="0" w:color="auto"/>
          <w:bottom w:val="single" w:sz="12" w:space="0" w:color="auto"/>
        </w:pBdr>
        <w:jc w:val="center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山东旅游职业学院办公室</w:t>
      </w:r>
      <w:r>
        <w:rPr>
          <w:rFonts w:ascii="仿宋_GB2312" w:eastAsia="仿宋_GB2312"/>
          <w:sz w:val="28"/>
        </w:rPr>
        <w:t xml:space="preserve">               2021年05月14日印发</w:t>
      </w:r>
      <w:bookmarkStart w:id="0" w:name="_GoBack"/>
      <w:bookmarkEnd w:id="0"/>
    </w:p>
    <w:sectPr w:rsidR="00A22006" w:rsidRPr="00F426B7" w:rsidSect="0099128E">
      <w:headerReference w:type="default" r:id="rId7"/>
      <w:footerReference w:type="default" r:id="rId8"/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E4" w:rsidRDefault="002E76E4">
      <w:r>
        <w:separator/>
      </w:r>
    </w:p>
  </w:endnote>
  <w:endnote w:type="continuationSeparator" w:id="0">
    <w:p w:rsidR="002E76E4" w:rsidRDefault="002E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5E6" w:rsidRPr="004A45E6" w:rsidRDefault="00A22006">
    <w:pPr>
      <w:pStyle w:val="a4"/>
      <w:jc w:val="right"/>
      <w:rPr>
        <w:sz w:val="28"/>
        <w:szCs w:val="28"/>
      </w:rPr>
    </w:pPr>
    <w:r w:rsidRPr="004A45E6">
      <w:rPr>
        <w:rFonts w:hint="eastAsia"/>
        <w:sz w:val="28"/>
        <w:szCs w:val="28"/>
      </w:rPr>
      <w:t>-</w:t>
    </w:r>
    <w:r w:rsidRPr="004A45E6">
      <w:rPr>
        <w:sz w:val="28"/>
        <w:szCs w:val="28"/>
      </w:rPr>
      <w:fldChar w:fldCharType="begin"/>
    </w:r>
    <w:r w:rsidRPr="004A45E6">
      <w:rPr>
        <w:sz w:val="28"/>
        <w:szCs w:val="28"/>
      </w:rPr>
      <w:instrText>PAGE   \* MERGEFORMAT</w:instrText>
    </w:r>
    <w:r w:rsidRPr="004A45E6">
      <w:rPr>
        <w:sz w:val="28"/>
        <w:szCs w:val="28"/>
      </w:rPr>
      <w:fldChar w:fldCharType="separate"/>
    </w:r>
    <w:r w:rsidR="00F426B7" w:rsidRPr="00F426B7">
      <w:rPr>
        <w:noProof/>
        <w:sz w:val="28"/>
        <w:szCs w:val="28"/>
        <w:lang w:val="zh-CN"/>
      </w:rPr>
      <w:t>4</w:t>
    </w:r>
    <w:r w:rsidRPr="004A45E6">
      <w:rPr>
        <w:sz w:val="28"/>
        <w:szCs w:val="28"/>
      </w:rPr>
      <w:fldChar w:fldCharType="end"/>
    </w:r>
    <w:r w:rsidRPr="004A45E6">
      <w:rPr>
        <w:rFonts w:hint="eastAsia"/>
        <w:sz w:val="28"/>
        <w:szCs w:val="28"/>
      </w:rPr>
      <w:t>-</w:t>
    </w:r>
  </w:p>
  <w:p w:rsidR="004A45E6" w:rsidRDefault="002E76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E4" w:rsidRDefault="002E76E4">
      <w:r>
        <w:separator/>
      </w:r>
    </w:p>
  </w:footnote>
  <w:footnote w:type="continuationSeparator" w:id="0">
    <w:p w:rsidR="002E76E4" w:rsidRDefault="002E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C9F" w:rsidRDefault="002E76E4" w:rsidP="000D1C9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06"/>
    <w:rsid w:val="002E76E4"/>
    <w:rsid w:val="008F69A2"/>
    <w:rsid w:val="00A22006"/>
    <w:rsid w:val="00F4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0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2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2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2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200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>Aliyun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Aliyun User</dc:creator>
  <cp:keywords/>
  <dc:description/>
  <cp:lastModifiedBy>刘彩珍</cp:lastModifiedBy>
  <cp:revision>3</cp:revision>
  <cp:lastPrinted>2021-05-14T03:54:00Z</cp:lastPrinted>
  <dcterms:created xsi:type="dcterms:W3CDTF">2021-05-14T03:52:00Z</dcterms:created>
  <dcterms:modified xsi:type="dcterms:W3CDTF">2021-05-14T03:54:00Z</dcterms:modified>
</cp:coreProperties>
</file>