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C87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sz w:val="24"/>
          <w:szCs w:val="24"/>
        </w:rPr>
      </w:pPr>
      <w:r>
        <w:rPr>
          <w:sz w:val="24"/>
          <w:szCs w:val="24"/>
          <w:bdr w:val="none" w:color="auto" w:sz="0" w:space="0"/>
        </w:rPr>
        <w:t>山东发布2025年第二批政策清单</w:t>
      </w:r>
    </w:p>
    <w:p w14:paraId="5C76FA49">
      <w:pPr>
        <w:pStyle w:val="3"/>
        <w:keepNext w:val="0"/>
        <w:keepLines w:val="0"/>
        <w:widowControl/>
        <w:suppressLineNumbers w:val="0"/>
        <w:pBdr>
          <w:top w:val="none" w:color="auto" w:sz="0" w:space="0"/>
          <w:left w:val="none" w:color="auto" w:sz="0" w:space="0"/>
          <w:bottom w:val="dashed" w:color="CCCCCC" w:sz="4" w:space="0"/>
          <w:right w:val="none" w:color="auto" w:sz="0" w:space="0"/>
        </w:pBdr>
        <w:spacing w:before="100" w:beforeAutospacing="0" w:after="200" w:afterAutospacing="0" w:line="400" w:lineRule="atLeast"/>
        <w:ind w:left="0" w:right="0"/>
        <w:jc w:val="center"/>
        <w:rPr>
          <w:color w:val="969696"/>
          <w:sz w:val="14"/>
          <w:szCs w:val="14"/>
        </w:rPr>
      </w:pPr>
      <w:r>
        <w:rPr>
          <w:color w:val="969696"/>
          <w:sz w:val="14"/>
          <w:szCs w:val="14"/>
          <w:bdr w:val="none" w:color="auto" w:sz="0" w:space="0"/>
        </w:rPr>
        <w:t>2025-06-20</w:t>
      </w:r>
      <w:r>
        <w:rPr>
          <w:color w:val="8FC844"/>
          <w:sz w:val="14"/>
          <w:szCs w:val="14"/>
          <w:bdr w:val="none" w:color="auto" w:sz="0" w:space="0"/>
        </w:rPr>
        <w:t>山东省人力资源和社会保障厅</w:t>
      </w:r>
    </w:p>
    <w:p w14:paraId="646CD6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80"/>
        <w:jc w:val="center"/>
        <w:rPr>
          <w:color w:val="515151"/>
          <w:sz w:val="15"/>
          <w:szCs w:val="15"/>
        </w:rPr>
      </w:pPr>
      <w:r>
        <w:rPr>
          <w:rFonts w:ascii="方正小标宋简体" w:hAnsi="方正小标宋简体" w:eastAsia="方正小标宋简体" w:cs="方正小标宋简体"/>
          <w:color w:val="515151"/>
          <w:sz w:val="35"/>
          <w:szCs w:val="35"/>
          <w:bdr w:val="none" w:color="auto" w:sz="0" w:space="0"/>
        </w:rPr>
        <w:t>山东省人民政府</w:t>
      </w:r>
    </w:p>
    <w:p w14:paraId="291CCA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80"/>
        <w:jc w:val="center"/>
        <w:rPr>
          <w:color w:val="515151"/>
          <w:sz w:val="15"/>
          <w:szCs w:val="15"/>
        </w:rPr>
      </w:pPr>
      <w:r>
        <w:rPr>
          <w:rFonts w:hint="default" w:ascii="方正小标宋简体" w:hAnsi="方正小标宋简体" w:eastAsia="方正小标宋简体" w:cs="方正小标宋简体"/>
          <w:color w:val="515151"/>
          <w:sz w:val="35"/>
          <w:szCs w:val="35"/>
          <w:bdr w:val="none" w:color="auto" w:sz="0" w:space="0"/>
        </w:rPr>
        <w:t>关于印发《加力稳经济促高质量发展政策措施》的通知</w:t>
      </w:r>
    </w:p>
    <w:p w14:paraId="79E9EF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center"/>
        <w:rPr>
          <w:color w:val="515151"/>
          <w:sz w:val="15"/>
          <w:szCs w:val="15"/>
        </w:rPr>
      </w:pPr>
      <w:r>
        <w:rPr>
          <w:rFonts w:ascii="仿宋_GB2312" w:eastAsia="仿宋_GB2312" w:cs="仿宋_GB2312"/>
          <w:color w:val="515151"/>
          <w:sz w:val="21"/>
          <w:szCs w:val="21"/>
          <w:bdr w:val="none" w:color="auto" w:sz="0" w:space="0"/>
        </w:rPr>
        <w:t>鲁政发〔</w:t>
      </w:r>
      <w:r>
        <w:rPr>
          <w:rFonts w:ascii="楷体_GB2312" w:eastAsia="楷体_GB2312" w:cs="楷体_GB2312"/>
          <w:color w:val="515151"/>
          <w:sz w:val="21"/>
          <w:szCs w:val="21"/>
          <w:bdr w:val="none" w:color="auto" w:sz="0" w:space="0"/>
        </w:rPr>
        <w:t>2025</w:t>
      </w:r>
      <w:r>
        <w:rPr>
          <w:rFonts w:hint="default" w:ascii="仿宋_GB2312" w:eastAsia="仿宋_GB2312" w:cs="仿宋_GB2312"/>
          <w:color w:val="515151"/>
          <w:sz w:val="21"/>
          <w:szCs w:val="21"/>
          <w:bdr w:val="none" w:color="auto" w:sz="0" w:space="0"/>
        </w:rPr>
        <w:t>〕</w:t>
      </w:r>
      <w:r>
        <w:rPr>
          <w:rFonts w:hint="default" w:ascii="楷体_GB2312" w:eastAsia="楷体_GB2312" w:cs="楷体_GB2312"/>
          <w:color w:val="515151"/>
          <w:sz w:val="21"/>
          <w:szCs w:val="21"/>
          <w:bdr w:val="none" w:color="auto" w:sz="0" w:space="0"/>
        </w:rPr>
        <w:t>9</w:t>
      </w:r>
      <w:r>
        <w:rPr>
          <w:rFonts w:hint="default" w:ascii="仿宋_GB2312" w:eastAsia="仿宋_GB2312" w:cs="仿宋_GB2312"/>
          <w:color w:val="515151"/>
          <w:sz w:val="21"/>
          <w:szCs w:val="21"/>
          <w:bdr w:val="none" w:color="auto" w:sz="0" w:space="0"/>
        </w:rPr>
        <w:t>号</w:t>
      </w:r>
    </w:p>
    <w:p w14:paraId="6385DA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color w:val="515151"/>
          <w:sz w:val="15"/>
          <w:szCs w:val="15"/>
        </w:rPr>
      </w:pPr>
      <w:r>
        <w:rPr>
          <w:rFonts w:hint="default" w:ascii="仿宋_GB2312" w:eastAsia="仿宋_GB2312" w:cs="仿宋_GB2312"/>
          <w:color w:val="515151"/>
          <w:sz w:val="21"/>
          <w:szCs w:val="21"/>
          <w:bdr w:val="none" w:color="auto" w:sz="0" w:space="0"/>
        </w:rPr>
        <w:t> </w:t>
      </w:r>
    </w:p>
    <w:p w14:paraId="251F25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color w:val="515151"/>
          <w:sz w:val="15"/>
          <w:szCs w:val="15"/>
        </w:rPr>
      </w:pPr>
      <w:r>
        <w:rPr>
          <w:rFonts w:hint="default" w:ascii="仿宋_GB2312" w:eastAsia="仿宋_GB2312" w:cs="仿宋_GB2312"/>
          <w:color w:val="515151"/>
          <w:sz w:val="21"/>
          <w:szCs w:val="21"/>
          <w:bdr w:val="none" w:color="auto" w:sz="0" w:space="0"/>
        </w:rPr>
        <w:t>各市人民政府，省有关部门、单位：</w:t>
      </w:r>
    </w:p>
    <w:p w14:paraId="734AD3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30"/>
        <w:rPr>
          <w:color w:val="515151"/>
          <w:sz w:val="15"/>
          <w:szCs w:val="15"/>
        </w:rPr>
      </w:pPr>
      <w:r>
        <w:rPr>
          <w:rFonts w:hint="default" w:ascii="仿宋_GB2312" w:eastAsia="仿宋_GB2312" w:cs="仿宋_GB2312"/>
          <w:color w:val="515151"/>
          <w:sz w:val="21"/>
          <w:szCs w:val="21"/>
          <w:bdr w:val="none" w:color="auto" w:sz="0" w:space="0"/>
        </w:rPr>
        <w:t>《加力稳经济促高质量发展政策措施》已经省委、省政府同意，现印发给你们，请结合实际抓好落实。</w:t>
      </w:r>
    </w:p>
    <w:p w14:paraId="15C37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30"/>
        <w:jc w:val="right"/>
        <w:rPr>
          <w:color w:val="515151"/>
          <w:sz w:val="15"/>
          <w:szCs w:val="15"/>
        </w:rPr>
      </w:pPr>
      <w:r>
        <w:rPr>
          <w:rFonts w:hint="default" w:ascii="仿宋_GB2312" w:eastAsia="仿宋_GB2312" w:cs="仿宋_GB2312"/>
          <w:color w:val="515151"/>
          <w:sz w:val="21"/>
          <w:szCs w:val="21"/>
          <w:bdr w:val="none" w:color="auto" w:sz="0" w:space="0"/>
        </w:rPr>
        <w:t>山东省人民政府</w:t>
      </w:r>
    </w:p>
    <w:p w14:paraId="1BEA0A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30"/>
        <w:jc w:val="right"/>
        <w:rPr>
          <w:color w:val="515151"/>
          <w:sz w:val="15"/>
          <w:szCs w:val="15"/>
        </w:rPr>
      </w:pPr>
      <w:r>
        <w:rPr>
          <w:rFonts w:hint="default" w:ascii="楷体_GB2312" w:eastAsia="楷体_GB2312" w:cs="楷体_GB2312"/>
          <w:color w:val="515151"/>
          <w:sz w:val="21"/>
          <w:szCs w:val="21"/>
          <w:bdr w:val="none" w:color="auto" w:sz="0" w:space="0"/>
        </w:rPr>
        <w:t>2025</w:t>
      </w:r>
      <w:r>
        <w:rPr>
          <w:rFonts w:hint="default" w:ascii="仿宋_GB2312" w:eastAsia="仿宋_GB2312" w:cs="仿宋_GB2312"/>
          <w:color w:val="515151"/>
          <w:sz w:val="21"/>
          <w:szCs w:val="21"/>
          <w:bdr w:val="none" w:color="auto" w:sz="0" w:space="0"/>
        </w:rPr>
        <w:t>年</w:t>
      </w:r>
      <w:r>
        <w:rPr>
          <w:rFonts w:hint="default" w:ascii="楷体_GB2312" w:eastAsia="楷体_GB2312" w:cs="楷体_GB2312"/>
          <w:color w:val="515151"/>
          <w:sz w:val="21"/>
          <w:szCs w:val="21"/>
          <w:bdr w:val="none" w:color="auto" w:sz="0" w:space="0"/>
        </w:rPr>
        <w:t>6</w:t>
      </w:r>
      <w:r>
        <w:rPr>
          <w:rFonts w:hint="default" w:ascii="仿宋_GB2312" w:eastAsia="仿宋_GB2312" w:cs="仿宋_GB2312"/>
          <w:color w:val="515151"/>
          <w:sz w:val="21"/>
          <w:szCs w:val="21"/>
          <w:bdr w:val="none" w:color="auto" w:sz="0" w:space="0"/>
        </w:rPr>
        <w:t>月</w:t>
      </w:r>
      <w:r>
        <w:rPr>
          <w:rFonts w:hint="default" w:ascii="楷体_GB2312" w:eastAsia="楷体_GB2312" w:cs="楷体_GB2312"/>
          <w:color w:val="515151"/>
          <w:sz w:val="21"/>
          <w:szCs w:val="21"/>
          <w:bdr w:val="none" w:color="auto" w:sz="0" w:space="0"/>
        </w:rPr>
        <w:t>13</w:t>
      </w:r>
      <w:r>
        <w:rPr>
          <w:rFonts w:hint="default" w:ascii="仿宋_GB2312" w:eastAsia="仿宋_GB2312" w:cs="仿宋_GB2312"/>
          <w:color w:val="515151"/>
          <w:sz w:val="21"/>
          <w:szCs w:val="21"/>
          <w:bdr w:val="none" w:color="auto" w:sz="0" w:space="0"/>
        </w:rPr>
        <w:t>日</w:t>
      </w:r>
    </w:p>
    <w:p w14:paraId="40E433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80"/>
        <w:rPr>
          <w:color w:val="515151"/>
          <w:sz w:val="15"/>
          <w:szCs w:val="15"/>
        </w:rPr>
      </w:pPr>
      <w:r>
        <w:rPr>
          <w:rFonts w:hint="default" w:ascii="仿宋_GB2312" w:eastAsia="仿宋_GB2312" w:cs="仿宋_GB2312"/>
          <w:color w:val="515151"/>
          <w:sz w:val="21"/>
          <w:szCs w:val="21"/>
          <w:bdr w:val="none" w:color="auto" w:sz="0" w:space="0"/>
        </w:rPr>
        <w:t> </w:t>
      </w:r>
    </w:p>
    <w:p w14:paraId="1B1D80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color w:val="515151"/>
          <w:sz w:val="15"/>
          <w:szCs w:val="15"/>
        </w:rPr>
      </w:pPr>
      <w:r>
        <w:rPr>
          <w:rFonts w:hint="default" w:ascii="仿宋_GB2312" w:eastAsia="仿宋_GB2312" w:cs="仿宋_GB2312"/>
          <w:color w:val="515151"/>
          <w:sz w:val="21"/>
          <w:szCs w:val="21"/>
          <w:bdr w:val="none" w:color="auto" w:sz="0" w:space="0"/>
        </w:rPr>
        <w:t> </w:t>
      </w:r>
    </w:p>
    <w:p w14:paraId="3DF106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80"/>
        <w:jc w:val="center"/>
        <w:rPr>
          <w:color w:val="515151"/>
          <w:sz w:val="15"/>
          <w:szCs w:val="15"/>
        </w:rPr>
      </w:pPr>
      <w:r>
        <w:rPr>
          <w:rFonts w:hint="default" w:ascii="方正小标宋简体" w:hAnsi="方正小标宋简体" w:eastAsia="方正小标宋简体" w:cs="方正小标宋简体"/>
          <w:color w:val="515151"/>
          <w:sz w:val="29"/>
          <w:szCs w:val="29"/>
          <w:bdr w:val="none" w:color="auto" w:sz="0" w:space="0"/>
        </w:rPr>
        <w:t>加力稳经济促高质量发展政策措施</w:t>
      </w:r>
    </w:p>
    <w:p w14:paraId="260023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center"/>
        <w:rPr>
          <w:color w:val="515151"/>
          <w:sz w:val="15"/>
          <w:szCs w:val="15"/>
        </w:rPr>
      </w:pPr>
      <w:r>
        <w:rPr>
          <w:rFonts w:hint="default" w:ascii="仿宋_GB2312" w:eastAsia="仿宋_GB2312" w:cs="仿宋_GB2312"/>
          <w:color w:val="515151"/>
          <w:sz w:val="21"/>
          <w:szCs w:val="21"/>
          <w:bdr w:val="none" w:color="auto" w:sz="0" w:space="0"/>
        </w:rPr>
        <w:t> </w:t>
      </w:r>
    </w:p>
    <w:p w14:paraId="263D0B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为深入贯彻</w:t>
      </w:r>
      <w:r>
        <w:rPr>
          <w:rFonts w:hint="default" w:ascii="楷体_GB2312" w:eastAsia="楷体_GB2312" w:cs="楷体_GB2312"/>
          <w:color w:val="515151"/>
          <w:sz w:val="21"/>
          <w:szCs w:val="21"/>
          <w:bdr w:val="none" w:color="auto" w:sz="0" w:space="0"/>
        </w:rPr>
        <w:t>4</w:t>
      </w:r>
      <w:r>
        <w:rPr>
          <w:rFonts w:hint="default" w:ascii="仿宋_GB2312" w:eastAsia="仿宋_GB2312" w:cs="仿宋_GB2312"/>
          <w:color w:val="515151"/>
          <w:sz w:val="21"/>
          <w:szCs w:val="21"/>
          <w:bdr w:val="none" w:color="auto" w:sz="0" w:space="0"/>
        </w:rPr>
        <w:t>月</w:t>
      </w:r>
      <w:r>
        <w:rPr>
          <w:rFonts w:hint="default" w:ascii="楷体_GB2312" w:eastAsia="楷体_GB2312" w:cs="楷体_GB2312"/>
          <w:color w:val="515151"/>
          <w:sz w:val="21"/>
          <w:szCs w:val="21"/>
          <w:bdr w:val="none" w:color="auto" w:sz="0" w:space="0"/>
        </w:rPr>
        <w:t>25</w:t>
      </w:r>
      <w:r>
        <w:rPr>
          <w:rFonts w:hint="default" w:ascii="仿宋_GB2312" w:eastAsia="仿宋_GB2312" w:cs="仿宋_GB2312"/>
          <w:color w:val="515151"/>
          <w:sz w:val="21"/>
          <w:szCs w:val="21"/>
          <w:bdr w:val="none" w:color="auto" w:sz="0" w:space="0"/>
        </w:rPr>
        <w:t>日中央政治局会议精神，围绕落实落细国家稳经济相关政策举措，聚焦稳就业、稳企业、稳市场、稳预期，加大政策供给力度，进一步巩固全省经济稳健向好、进中提质良好态势，更好发挥经济大省“挑大梁”作用，现提出如下政策措施。</w:t>
      </w:r>
    </w:p>
    <w:p w14:paraId="4931B9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ascii="黑体" w:hAnsi="宋体" w:eastAsia="黑体" w:cs="黑体"/>
          <w:color w:val="515151"/>
          <w:sz w:val="21"/>
          <w:szCs w:val="21"/>
          <w:bdr w:val="none" w:color="auto" w:sz="0" w:space="0"/>
        </w:rPr>
        <w:t>一、千方百计稳就业</w:t>
      </w:r>
    </w:p>
    <w:p w14:paraId="4F944C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w:t>
      </w:r>
      <w:r>
        <w:rPr>
          <w:rFonts w:hint="default" w:ascii="仿宋_GB2312" w:eastAsia="仿宋_GB2312" w:cs="仿宋_GB2312"/>
          <w:color w:val="515151"/>
          <w:sz w:val="21"/>
          <w:szCs w:val="21"/>
          <w:bdr w:val="none" w:color="auto" w:sz="0" w:space="0"/>
        </w:rPr>
        <w:t>对受关税影响较大的外贸企业，开展“点对点”上门服务，引导企业不裁员、少裁员，增强用工稳定性。组织外贸企业专场招聘活动，定向投放岗位，支持符合条件的职工参加企业新型学徒制、“金蓝领”培训等技能提升项目，帮助受影响劳动者转岗就业。（牵头单位：省人力资源社会保障厅）</w:t>
      </w:r>
    </w:p>
    <w:p w14:paraId="1332FD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w:t>
      </w:r>
      <w:r>
        <w:rPr>
          <w:rFonts w:hint="default" w:ascii="仿宋_GB2312" w:eastAsia="仿宋_GB2312" w:cs="仿宋_GB2312"/>
          <w:color w:val="515151"/>
          <w:sz w:val="21"/>
          <w:szCs w:val="21"/>
          <w:bdr w:val="none" w:color="auto" w:sz="0" w:space="0"/>
        </w:rPr>
        <w:t>扩大稳岗扩岗专项贷款支持范围，将专项贷款支持对象由小微企业扩大至小微企业主和个体工商户，小微企业、个人最高授信分别提高到</w:t>
      </w:r>
      <w:r>
        <w:rPr>
          <w:rFonts w:hint="default" w:ascii="楷体_GB2312" w:eastAsia="楷体_GB2312" w:cs="楷体_GB2312"/>
          <w:color w:val="515151"/>
          <w:sz w:val="21"/>
          <w:szCs w:val="21"/>
          <w:bdr w:val="none" w:color="auto" w:sz="0" w:space="0"/>
        </w:rPr>
        <w:t>5000</w:t>
      </w:r>
      <w:r>
        <w:rPr>
          <w:rFonts w:hint="default" w:ascii="仿宋_GB2312" w:eastAsia="仿宋_GB2312" w:cs="仿宋_GB2312"/>
          <w:color w:val="515151"/>
          <w:sz w:val="21"/>
          <w:szCs w:val="21"/>
          <w:bdr w:val="none" w:color="auto" w:sz="0" w:space="0"/>
        </w:rPr>
        <w:t>万元、</w:t>
      </w:r>
      <w:r>
        <w:rPr>
          <w:rFonts w:hint="default" w:ascii="楷体_GB2312" w:eastAsia="楷体_GB2312" w:cs="楷体_GB2312"/>
          <w:color w:val="515151"/>
          <w:sz w:val="21"/>
          <w:szCs w:val="21"/>
          <w:bdr w:val="none" w:color="auto" w:sz="0" w:space="0"/>
        </w:rPr>
        <w:t>1000</w:t>
      </w:r>
      <w:r>
        <w:rPr>
          <w:rFonts w:hint="default" w:ascii="仿宋_GB2312" w:eastAsia="仿宋_GB2312" w:cs="仿宋_GB2312"/>
          <w:color w:val="515151"/>
          <w:sz w:val="21"/>
          <w:szCs w:val="21"/>
          <w:bdr w:val="none" w:color="auto" w:sz="0" w:space="0"/>
        </w:rPr>
        <w:t>万元，申请条件调整为在申请贷款前</w:t>
      </w:r>
      <w:r>
        <w:rPr>
          <w:rFonts w:hint="default" w:ascii="楷体_GB2312" w:eastAsia="楷体_GB2312" w:cs="楷体_GB2312"/>
          <w:color w:val="515151"/>
          <w:sz w:val="21"/>
          <w:szCs w:val="21"/>
          <w:bdr w:val="none" w:color="auto" w:sz="0" w:space="0"/>
        </w:rPr>
        <w:t>1</w:t>
      </w:r>
      <w:r>
        <w:rPr>
          <w:rFonts w:hint="default" w:ascii="仿宋_GB2312" w:eastAsia="仿宋_GB2312" w:cs="仿宋_GB2312"/>
          <w:color w:val="515151"/>
          <w:sz w:val="21"/>
          <w:szCs w:val="21"/>
          <w:bdr w:val="none" w:color="auto" w:sz="0" w:space="0"/>
        </w:rPr>
        <w:t>年内用工人数未减少或用工人数减少水平低于上年度城镇调查失业率控制目标，企业成立年限、工资支付和社保缴纳情况等其他标准仍按原要求执行。（牵头单位：省人力资源社会保障厅、中国人民银行山东省分行、山东金融监管局）</w:t>
      </w:r>
    </w:p>
    <w:p w14:paraId="487804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3.</w:t>
      </w:r>
      <w:r>
        <w:rPr>
          <w:rFonts w:hint="default" w:ascii="仿宋_GB2312" w:eastAsia="仿宋_GB2312" w:cs="仿宋_GB2312"/>
          <w:color w:val="515151"/>
          <w:sz w:val="21"/>
          <w:szCs w:val="21"/>
          <w:bdr w:val="none" w:color="auto" w:sz="0" w:space="0"/>
        </w:rPr>
        <w:t>扎实开展高校毕业生就业服务攻坚行动，对招用毕业年度及离校两年内未就业高校毕业生及</w:t>
      </w:r>
      <w:r>
        <w:rPr>
          <w:rFonts w:hint="default" w:ascii="楷体_GB2312" w:eastAsia="楷体_GB2312" w:cs="楷体_GB2312"/>
          <w:color w:val="515151"/>
          <w:sz w:val="21"/>
          <w:szCs w:val="21"/>
          <w:bdr w:val="none" w:color="auto" w:sz="0" w:space="0"/>
        </w:rPr>
        <w:t>16-24</w:t>
      </w:r>
      <w:r>
        <w:rPr>
          <w:rFonts w:hint="default" w:ascii="仿宋_GB2312" w:eastAsia="仿宋_GB2312" w:cs="仿宋_GB2312"/>
          <w:color w:val="515151"/>
          <w:sz w:val="21"/>
          <w:szCs w:val="21"/>
          <w:bdr w:val="none" w:color="auto" w:sz="0" w:space="0"/>
        </w:rPr>
        <w:t>岁登记失业青年，签订劳动合同，并按规定为其足额缴纳</w:t>
      </w:r>
      <w:r>
        <w:rPr>
          <w:rFonts w:hint="default" w:ascii="楷体_GB2312" w:eastAsia="楷体_GB2312" w:cs="楷体_GB2312"/>
          <w:color w:val="515151"/>
          <w:sz w:val="21"/>
          <w:szCs w:val="21"/>
          <w:bdr w:val="none" w:color="auto" w:sz="0" w:space="0"/>
        </w:rPr>
        <w:t>3</w:t>
      </w:r>
      <w:r>
        <w:rPr>
          <w:rFonts w:hint="default" w:ascii="仿宋_GB2312" w:eastAsia="仿宋_GB2312" w:cs="仿宋_GB2312"/>
          <w:color w:val="515151"/>
          <w:sz w:val="21"/>
          <w:szCs w:val="21"/>
          <w:bdr w:val="none" w:color="auto" w:sz="0" w:space="0"/>
        </w:rPr>
        <w:t>个月以上的失业、工伤、职工养老保险费的社会组织，参照企业享受一次性扩岗补助政策，政策执行至</w:t>
      </w:r>
      <w:r>
        <w:rPr>
          <w:rFonts w:hint="default" w:ascii="楷体_GB2312" w:eastAsia="楷体_GB2312" w:cs="楷体_GB2312"/>
          <w:color w:val="515151"/>
          <w:sz w:val="21"/>
          <w:szCs w:val="21"/>
          <w:bdr w:val="none" w:color="auto" w:sz="0" w:space="0"/>
        </w:rPr>
        <w:t>2025</w:t>
      </w:r>
      <w:r>
        <w:rPr>
          <w:rFonts w:hint="default" w:ascii="仿宋_GB2312" w:eastAsia="仿宋_GB2312" w:cs="仿宋_GB2312"/>
          <w:color w:val="515151"/>
          <w:sz w:val="21"/>
          <w:szCs w:val="21"/>
          <w:bdr w:val="none" w:color="auto" w:sz="0" w:space="0"/>
        </w:rPr>
        <w:t>年</w:t>
      </w:r>
      <w:r>
        <w:rPr>
          <w:rFonts w:hint="default" w:ascii="楷体_GB2312" w:eastAsia="楷体_GB2312" w:cs="楷体_GB2312"/>
          <w:color w:val="515151"/>
          <w:sz w:val="21"/>
          <w:szCs w:val="21"/>
          <w:bdr w:val="none" w:color="auto" w:sz="0" w:space="0"/>
        </w:rPr>
        <w:t>12</w:t>
      </w:r>
      <w:r>
        <w:rPr>
          <w:rFonts w:hint="default" w:ascii="仿宋_GB2312" w:eastAsia="仿宋_GB2312" w:cs="仿宋_GB2312"/>
          <w:color w:val="515151"/>
          <w:sz w:val="21"/>
          <w:szCs w:val="21"/>
          <w:bdr w:val="none" w:color="auto" w:sz="0" w:space="0"/>
        </w:rPr>
        <w:t>月</w:t>
      </w:r>
      <w:r>
        <w:rPr>
          <w:rFonts w:hint="default" w:ascii="楷体_GB2312" w:eastAsia="楷体_GB2312" w:cs="楷体_GB2312"/>
          <w:color w:val="515151"/>
          <w:sz w:val="21"/>
          <w:szCs w:val="21"/>
          <w:bdr w:val="none" w:color="auto" w:sz="0" w:space="0"/>
        </w:rPr>
        <w:t>31</w:t>
      </w:r>
      <w:r>
        <w:rPr>
          <w:rFonts w:hint="default" w:ascii="仿宋_GB2312" w:eastAsia="仿宋_GB2312" w:cs="仿宋_GB2312"/>
          <w:color w:val="515151"/>
          <w:sz w:val="21"/>
          <w:szCs w:val="21"/>
          <w:bdr w:val="none" w:color="auto" w:sz="0" w:space="0"/>
        </w:rPr>
        <w:t>日。延续实施国有企业一次性增人增资政策，政策执行至</w:t>
      </w:r>
      <w:r>
        <w:rPr>
          <w:rFonts w:hint="default" w:ascii="楷体_GB2312" w:eastAsia="楷体_GB2312" w:cs="楷体_GB2312"/>
          <w:color w:val="515151"/>
          <w:sz w:val="21"/>
          <w:szCs w:val="21"/>
          <w:bdr w:val="none" w:color="auto" w:sz="0" w:space="0"/>
        </w:rPr>
        <w:t>2026</w:t>
      </w:r>
      <w:r>
        <w:rPr>
          <w:rFonts w:hint="default" w:ascii="仿宋_GB2312" w:eastAsia="仿宋_GB2312" w:cs="仿宋_GB2312"/>
          <w:color w:val="515151"/>
          <w:sz w:val="21"/>
          <w:szCs w:val="21"/>
          <w:bdr w:val="none" w:color="auto" w:sz="0" w:space="0"/>
        </w:rPr>
        <w:t>年</w:t>
      </w:r>
      <w:r>
        <w:rPr>
          <w:rFonts w:hint="default" w:ascii="楷体_GB2312" w:eastAsia="楷体_GB2312" w:cs="楷体_GB2312"/>
          <w:color w:val="515151"/>
          <w:sz w:val="21"/>
          <w:szCs w:val="21"/>
          <w:bdr w:val="none" w:color="auto" w:sz="0" w:space="0"/>
        </w:rPr>
        <w:t>12</w:t>
      </w:r>
      <w:r>
        <w:rPr>
          <w:rFonts w:hint="default" w:ascii="仿宋_GB2312" w:eastAsia="仿宋_GB2312" w:cs="仿宋_GB2312"/>
          <w:color w:val="515151"/>
          <w:sz w:val="21"/>
          <w:szCs w:val="21"/>
          <w:bdr w:val="none" w:color="auto" w:sz="0" w:space="0"/>
        </w:rPr>
        <w:t>月</w:t>
      </w:r>
      <w:r>
        <w:rPr>
          <w:rFonts w:hint="default" w:ascii="楷体_GB2312" w:eastAsia="楷体_GB2312" w:cs="楷体_GB2312"/>
          <w:color w:val="515151"/>
          <w:sz w:val="21"/>
          <w:szCs w:val="21"/>
          <w:bdr w:val="none" w:color="auto" w:sz="0" w:space="0"/>
        </w:rPr>
        <w:t>31</w:t>
      </w:r>
      <w:r>
        <w:rPr>
          <w:rFonts w:hint="default" w:ascii="仿宋_GB2312" w:eastAsia="仿宋_GB2312" w:cs="仿宋_GB2312"/>
          <w:color w:val="515151"/>
          <w:sz w:val="21"/>
          <w:szCs w:val="21"/>
          <w:bdr w:val="none" w:color="auto" w:sz="0" w:space="0"/>
        </w:rPr>
        <w:t>日。允许离校两年内高校毕业生报考事业单位、国有企业面向应届毕业生的招聘岗位，不将签订就业协议或劳动合同、缴纳社保等作为审核条件。（牵头单位：省人力资源社会保障厅、省国资委）</w:t>
      </w:r>
    </w:p>
    <w:p w14:paraId="7861CA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4.</w:t>
      </w:r>
      <w:r>
        <w:rPr>
          <w:rFonts w:hint="default" w:ascii="仿宋_GB2312" w:eastAsia="仿宋_GB2312" w:cs="仿宋_GB2312"/>
          <w:color w:val="515151"/>
          <w:sz w:val="21"/>
          <w:szCs w:val="21"/>
          <w:bdr w:val="none" w:color="auto" w:sz="0" w:space="0"/>
        </w:rPr>
        <w:t>加力支持以工代赈项目，积极争取中央预算内投资资金，用好省预算内投资资金，促进返乡农民工等重点群体就业增收。（牵头单位：省发展改革委）</w:t>
      </w:r>
    </w:p>
    <w:p w14:paraId="37E93E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5.</w:t>
      </w:r>
      <w:r>
        <w:rPr>
          <w:rFonts w:hint="default" w:ascii="仿宋_GB2312" w:eastAsia="仿宋_GB2312" w:cs="仿宋_GB2312"/>
          <w:color w:val="515151"/>
          <w:sz w:val="21"/>
          <w:szCs w:val="21"/>
          <w:bdr w:val="none" w:color="auto" w:sz="0" w:space="0"/>
        </w:rPr>
        <w:t>实施“五重一基”（重大战略、重大项目、重点领域、重点产业、重点企业和基层城乡）岗位扩容挖潜计划，组织公共就业服务机构、人力资源服务企业等归集一批相关行业岗位信息，全年分行业、分领域、分区域召开</w:t>
      </w:r>
      <w:r>
        <w:rPr>
          <w:rFonts w:hint="default" w:ascii="楷体_GB2312" w:eastAsia="楷体_GB2312" w:cs="楷体_GB2312"/>
          <w:color w:val="515151"/>
          <w:sz w:val="21"/>
          <w:szCs w:val="21"/>
          <w:bdr w:val="none" w:color="auto" w:sz="0" w:space="0"/>
        </w:rPr>
        <w:t>1000</w:t>
      </w:r>
      <w:r>
        <w:rPr>
          <w:rFonts w:hint="default" w:ascii="仿宋_GB2312" w:eastAsia="仿宋_GB2312" w:cs="仿宋_GB2312"/>
          <w:color w:val="515151"/>
          <w:sz w:val="21"/>
          <w:szCs w:val="21"/>
          <w:bdr w:val="none" w:color="auto" w:sz="0" w:space="0"/>
        </w:rPr>
        <w:t>场以上线上线下专项招聘活动，促进供需精准对接，拓宽新的就业增长点。（牵头单位：省人力资源社会保障厅）</w:t>
      </w:r>
    </w:p>
    <w:p w14:paraId="32CC24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eastAsia" w:ascii="黑体" w:hAnsi="宋体" w:eastAsia="黑体" w:cs="黑体"/>
          <w:color w:val="515151"/>
          <w:sz w:val="21"/>
          <w:szCs w:val="21"/>
          <w:bdr w:val="none" w:color="auto" w:sz="0" w:space="0"/>
        </w:rPr>
        <w:t>二、纾困解难稳企业</w:t>
      </w:r>
    </w:p>
    <w:p w14:paraId="3401EE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6.</w:t>
      </w:r>
      <w:r>
        <w:rPr>
          <w:rFonts w:hint="default" w:ascii="仿宋_GB2312" w:eastAsia="仿宋_GB2312" w:cs="仿宋_GB2312"/>
          <w:color w:val="515151"/>
          <w:sz w:val="21"/>
          <w:szCs w:val="21"/>
          <w:bdr w:val="none" w:color="auto" w:sz="0" w:space="0"/>
        </w:rPr>
        <w:t>将外贸企业纳入小微企业融资协调工作机制支持范围，对有进出口实绩且正常经营的外贸企业“应贷尽贷”“能贷快贷”；指导银行机构制定完善尽职免责实施细则，合理提高民营企业和小微企业不良贷款容忍度。（牵头单位：省发展改革委、省商务厅、中国人民银行山东省分行、山东金融监管局）</w:t>
      </w:r>
    </w:p>
    <w:p w14:paraId="57E8E2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7.</w:t>
      </w:r>
      <w:r>
        <w:rPr>
          <w:rFonts w:hint="default" w:ascii="仿宋_GB2312" w:eastAsia="仿宋_GB2312" w:cs="仿宋_GB2312"/>
          <w:color w:val="515151"/>
          <w:sz w:val="21"/>
          <w:szCs w:val="21"/>
          <w:bdr w:val="none" w:color="auto" w:sz="0" w:space="0"/>
        </w:rPr>
        <w:t>建立省市县三级民营企业金融直连服务机制，用足用好国家服务消费与养老再贷款、科技创新和技术改造再贷款、支农支小再贷款等结构性货币政策工具，完善以信用信息为基础的普惠融资服务体系，</w:t>
      </w:r>
      <w:r>
        <w:rPr>
          <w:rFonts w:hint="default" w:ascii="楷体_GB2312" w:eastAsia="楷体_GB2312" w:cs="楷体_GB2312"/>
          <w:color w:val="515151"/>
          <w:sz w:val="21"/>
          <w:szCs w:val="21"/>
          <w:bdr w:val="none" w:color="auto" w:sz="0" w:space="0"/>
        </w:rPr>
        <w:t>2025</w:t>
      </w:r>
      <w:r>
        <w:rPr>
          <w:rFonts w:hint="default" w:ascii="仿宋_GB2312" w:eastAsia="仿宋_GB2312" w:cs="仿宋_GB2312"/>
          <w:color w:val="515151"/>
          <w:sz w:val="21"/>
          <w:szCs w:val="21"/>
          <w:bdr w:val="none" w:color="auto" w:sz="0" w:space="0"/>
        </w:rPr>
        <w:t>年信易贷平台新增授信</w:t>
      </w:r>
      <w:r>
        <w:rPr>
          <w:rFonts w:hint="default" w:ascii="楷体_GB2312" w:eastAsia="楷体_GB2312" w:cs="楷体_GB2312"/>
          <w:color w:val="515151"/>
          <w:sz w:val="21"/>
          <w:szCs w:val="21"/>
          <w:bdr w:val="none" w:color="auto" w:sz="0" w:space="0"/>
        </w:rPr>
        <w:t>5000</w:t>
      </w:r>
      <w:r>
        <w:rPr>
          <w:rFonts w:hint="default" w:ascii="仿宋_GB2312" w:eastAsia="仿宋_GB2312" w:cs="仿宋_GB2312"/>
          <w:color w:val="515151"/>
          <w:sz w:val="21"/>
          <w:szCs w:val="21"/>
          <w:bdr w:val="none" w:color="auto" w:sz="0" w:space="0"/>
        </w:rPr>
        <w:t>亿元以上。（责任单位：省委金融办、省发展改革委、省工业和信息化厅、省市场监管局、中国人民银行山东省分行、山东金融监管局）</w:t>
      </w:r>
    </w:p>
    <w:p w14:paraId="561905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8.</w:t>
      </w:r>
      <w:r>
        <w:rPr>
          <w:rFonts w:hint="default" w:ascii="仿宋_GB2312" w:eastAsia="仿宋_GB2312" w:cs="仿宋_GB2312"/>
          <w:color w:val="515151"/>
          <w:sz w:val="21"/>
          <w:szCs w:val="21"/>
          <w:bdr w:val="none" w:color="auto" w:sz="0" w:space="0"/>
        </w:rPr>
        <w:t>加力清理拖欠企业账款，对机关、事业单位、国有企业拖欠民营中小企业账款进行清偿，对存在严重失信行为的拖欠主体实施联合惩戒。（牵头单位：省发展改革委、省工业和信息化厅，责任单位：省财政厅、省审计厅、省国资委）</w:t>
      </w:r>
    </w:p>
    <w:p w14:paraId="0543CA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9.</w:t>
      </w:r>
      <w:r>
        <w:rPr>
          <w:rFonts w:hint="default" w:ascii="仿宋_GB2312" w:eastAsia="仿宋_GB2312" w:cs="仿宋_GB2312"/>
          <w:color w:val="515151"/>
          <w:sz w:val="21"/>
          <w:szCs w:val="21"/>
          <w:bdr w:val="none" w:color="auto" w:sz="0" w:space="0"/>
        </w:rPr>
        <w:t>用好省服务业发展引导资金，支持高成长性企业在建项目，每个给予</w:t>
      </w:r>
      <w:r>
        <w:rPr>
          <w:rFonts w:hint="default" w:ascii="楷体_GB2312" w:eastAsia="楷体_GB2312" w:cs="楷体_GB2312"/>
          <w:color w:val="515151"/>
          <w:sz w:val="21"/>
          <w:szCs w:val="21"/>
          <w:bdr w:val="none" w:color="auto" w:sz="0" w:space="0"/>
        </w:rPr>
        <w:t>30</w:t>
      </w:r>
      <w:r>
        <w:rPr>
          <w:rFonts w:hint="default" w:ascii="仿宋_GB2312" w:eastAsia="仿宋_GB2312" w:cs="仿宋_GB2312"/>
          <w:color w:val="515151"/>
          <w:sz w:val="21"/>
          <w:szCs w:val="21"/>
          <w:bdr w:val="none" w:color="auto" w:sz="0" w:space="0"/>
        </w:rPr>
        <w:t>万元至</w:t>
      </w:r>
      <w:r>
        <w:rPr>
          <w:rFonts w:hint="default" w:ascii="楷体_GB2312" w:eastAsia="楷体_GB2312" w:cs="楷体_GB2312"/>
          <w:color w:val="515151"/>
          <w:sz w:val="21"/>
          <w:szCs w:val="21"/>
          <w:bdr w:val="none" w:color="auto" w:sz="0" w:space="0"/>
        </w:rPr>
        <w:t>100</w:t>
      </w:r>
      <w:r>
        <w:rPr>
          <w:rFonts w:hint="default" w:ascii="仿宋_GB2312" w:eastAsia="仿宋_GB2312" w:cs="仿宋_GB2312"/>
          <w:color w:val="515151"/>
          <w:sz w:val="21"/>
          <w:szCs w:val="21"/>
          <w:bdr w:val="none" w:color="auto" w:sz="0" w:space="0"/>
        </w:rPr>
        <w:t>万元资金补助。支持企业搭建服务共享平台，对新获批的国家级质检中心、产业计量测试中心、市场监管重点实验室和技术创新中心、质量标准实验室等公共服务平台，给予最高</w:t>
      </w:r>
      <w:r>
        <w:rPr>
          <w:rFonts w:hint="default" w:ascii="楷体_GB2312" w:eastAsia="楷体_GB2312" w:cs="楷体_GB2312"/>
          <w:color w:val="515151"/>
          <w:sz w:val="21"/>
          <w:szCs w:val="21"/>
          <w:bdr w:val="none" w:color="auto" w:sz="0" w:space="0"/>
        </w:rPr>
        <w:t>200</w:t>
      </w:r>
      <w:r>
        <w:rPr>
          <w:rFonts w:hint="default" w:ascii="仿宋_GB2312" w:eastAsia="仿宋_GB2312" w:cs="仿宋_GB2312"/>
          <w:color w:val="515151"/>
          <w:sz w:val="21"/>
          <w:szCs w:val="21"/>
          <w:bdr w:val="none" w:color="auto" w:sz="0" w:space="0"/>
        </w:rPr>
        <w:t>万元一次性奖补。（牵头单位：省发展改革委、省市场监管局、省财政厅）</w:t>
      </w:r>
    </w:p>
    <w:p w14:paraId="1415EE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10.</w:t>
      </w:r>
      <w:r>
        <w:rPr>
          <w:rFonts w:hint="default" w:ascii="仿宋_GB2312" w:eastAsia="仿宋_GB2312" w:cs="仿宋_GB2312"/>
          <w:color w:val="515151"/>
          <w:sz w:val="21"/>
          <w:szCs w:val="21"/>
          <w:bdr w:val="none" w:color="auto" w:sz="0" w:space="0"/>
        </w:rPr>
        <w:t>对首年度购买“鲁科保”产品的科技型企业，最高按照保费的</w:t>
      </w:r>
      <w:r>
        <w:rPr>
          <w:rFonts w:hint="default" w:ascii="楷体_GB2312" w:eastAsia="楷体_GB2312" w:cs="楷体_GB2312"/>
          <w:color w:val="515151"/>
          <w:sz w:val="21"/>
          <w:szCs w:val="21"/>
          <w:bdr w:val="none" w:color="auto" w:sz="0" w:space="0"/>
        </w:rPr>
        <w:t>50%</w:t>
      </w:r>
      <w:r>
        <w:rPr>
          <w:rFonts w:hint="default" w:ascii="仿宋_GB2312" w:eastAsia="仿宋_GB2312" w:cs="仿宋_GB2312"/>
          <w:color w:val="515151"/>
          <w:sz w:val="21"/>
          <w:szCs w:val="21"/>
          <w:bdr w:val="none" w:color="auto" w:sz="0" w:space="0"/>
        </w:rPr>
        <w:t>给予补贴，以后年度按不超过实际支出保费的</w:t>
      </w:r>
      <w:r>
        <w:rPr>
          <w:rFonts w:hint="default" w:ascii="楷体_GB2312" w:eastAsia="楷体_GB2312" w:cs="楷体_GB2312"/>
          <w:color w:val="515151"/>
          <w:sz w:val="21"/>
          <w:szCs w:val="21"/>
          <w:bdr w:val="none" w:color="auto" w:sz="0" w:space="0"/>
        </w:rPr>
        <w:t>30%</w:t>
      </w:r>
      <w:r>
        <w:rPr>
          <w:rFonts w:hint="default" w:ascii="仿宋_GB2312" w:eastAsia="仿宋_GB2312" w:cs="仿宋_GB2312"/>
          <w:color w:val="515151"/>
          <w:sz w:val="21"/>
          <w:szCs w:val="21"/>
          <w:bdr w:val="none" w:color="auto" w:sz="0" w:space="0"/>
        </w:rPr>
        <w:t>给予补贴；保费补贴采取后补助方式，每家企业每年最高补贴</w:t>
      </w:r>
      <w:r>
        <w:rPr>
          <w:rFonts w:hint="default" w:ascii="楷体_GB2312" w:eastAsia="楷体_GB2312" w:cs="楷体_GB2312"/>
          <w:color w:val="515151"/>
          <w:sz w:val="21"/>
          <w:szCs w:val="21"/>
          <w:bdr w:val="none" w:color="auto" w:sz="0" w:space="0"/>
        </w:rPr>
        <w:t>30</w:t>
      </w:r>
      <w:r>
        <w:rPr>
          <w:rFonts w:hint="default" w:ascii="仿宋_GB2312" w:eastAsia="仿宋_GB2312" w:cs="仿宋_GB2312"/>
          <w:color w:val="515151"/>
          <w:sz w:val="21"/>
          <w:szCs w:val="21"/>
          <w:bdr w:val="none" w:color="auto" w:sz="0" w:space="0"/>
        </w:rPr>
        <w:t>万元。政策有效期至</w:t>
      </w:r>
      <w:r>
        <w:rPr>
          <w:rFonts w:hint="default" w:ascii="楷体_GB2312" w:eastAsia="楷体_GB2312" w:cs="楷体_GB2312"/>
          <w:color w:val="515151"/>
          <w:sz w:val="21"/>
          <w:szCs w:val="21"/>
          <w:bdr w:val="none" w:color="auto" w:sz="0" w:space="0"/>
        </w:rPr>
        <w:t>2028</w:t>
      </w:r>
      <w:r>
        <w:rPr>
          <w:rFonts w:hint="default" w:ascii="仿宋_GB2312" w:eastAsia="仿宋_GB2312" w:cs="仿宋_GB2312"/>
          <w:color w:val="515151"/>
          <w:sz w:val="21"/>
          <w:szCs w:val="21"/>
          <w:bdr w:val="none" w:color="auto" w:sz="0" w:space="0"/>
        </w:rPr>
        <w:t>年</w:t>
      </w:r>
      <w:r>
        <w:rPr>
          <w:rFonts w:hint="default" w:ascii="楷体_GB2312" w:eastAsia="楷体_GB2312" w:cs="楷体_GB2312"/>
          <w:color w:val="515151"/>
          <w:sz w:val="21"/>
          <w:szCs w:val="21"/>
          <w:bdr w:val="none" w:color="auto" w:sz="0" w:space="0"/>
        </w:rPr>
        <w:t>12</w:t>
      </w:r>
      <w:r>
        <w:rPr>
          <w:rFonts w:hint="default" w:ascii="仿宋_GB2312" w:eastAsia="仿宋_GB2312" w:cs="仿宋_GB2312"/>
          <w:color w:val="515151"/>
          <w:sz w:val="21"/>
          <w:szCs w:val="21"/>
          <w:bdr w:val="none" w:color="auto" w:sz="0" w:space="0"/>
        </w:rPr>
        <w:t>月</w:t>
      </w:r>
      <w:r>
        <w:rPr>
          <w:rFonts w:hint="default" w:ascii="楷体_GB2312" w:eastAsia="楷体_GB2312" w:cs="楷体_GB2312"/>
          <w:color w:val="515151"/>
          <w:sz w:val="21"/>
          <w:szCs w:val="21"/>
          <w:bdr w:val="none" w:color="auto" w:sz="0" w:space="0"/>
        </w:rPr>
        <w:t>31</w:t>
      </w:r>
      <w:r>
        <w:rPr>
          <w:rFonts w:hint="default" w:ascii="仿宋_GB2312" w:eastAsia="仿宋_GB2312" w:cs="仿宋_GB2312"/>
          <w:color w:val="515151"/>
          <w:sz w:val="21"/>
          <w:szCs w:val="21"/>
          <w:bdr w:val="none" w:color="auto" w:sz="0" w:space="0"/>
        </w:rPr>
        <w:t>日。（牵头单位：省科技厅、省财政厅）</w:t>
      </w:r>
    </w:p>
    <w:p w14:paraId="13F704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11.</w:t>
      </w:r>
      <w:r>
        <w:rPr>
          <w:rFonts w:hint="default" w:ascii="仿宋_GB2312" w:eastAsia="仿宋_GB2312" w:cs="仿宋_GB2312"/>
          <w:color w:val="515151"/>
          <w:sz w:val="21"/>
          <w:szCs w:val="21"/>
          <w:bdr w:val="none" w:color="auto" w:sz="0" w:space="0"/>
        </w:rPr>
        <w:t>开展知识产权保护综合保险扶持，对企业向保险公司投保的知识产权保护综合保险，按照不高于实际投保年度保费</w:t>
      </w:r>
      <w:r>
        <w:rPr>
          <w:rFonts w:hint="default" w:ascii="楷体_GB2312" w:eastAsia="楷体_GB2312" w:cs="楷体_GB2312"/>
          <w:color w:val="515151"/>
          <w:sz w:val="21"/>
          <w:szCs w:val="21"/>
          <w:bdr w:val="none" w:color="auto" w:sz="0" w:space="0"/>
        </w:rPr>
        <w:t>60%</w:t>
      </w:r>
      <w:r>
        <w:rPr>
          <w:rFonts w:hint="default" w:ascii="仿宋_GB2312" w:eastAsia="仿宋_GB2312" w:cs="仿宋_GB2312"/>
          <w:color w:val="515151"/>
          <w:sz w:val="21"/>
          <w:szCs w:val="21"/>
          <w:bdr w:val="none" w:color="auto" w:sz="0" w:space="0"/>
        </w:rPr>
        <w:t>的标准给予最高</w:t>
      </w:r>
      <w:r>
        <w:rPr>
          <w:rFonts w:hint="default" w:ascii="楷体_GB2312" w:eastAsia="楷体_GB2312" w:cs="楷体_GB2312"/>
          <w:color w:val="515151"/>
          <w:sz w:val="21"/>
          <w:szCs w:val="21"/>
          <w:bdr w:val="none" w:color="auto" w:sz="0" w:space="0"/>
        </w:rPr>
        <w:t>40</w:t>
      </w:r>
      <w:r>
        <w:rPr>
          <w:rFonts w:hint="default" w:ascii="仿宋_GB2312" w:eastAsia="仿宋_GB2312" w:cs="仿宋_GB2312"/>
          <w:color w:val="515151"/>
          <w:sz w:val="21"/>
          <w:szCs w:val="21"/>
          <w:bdr w:val="none" w:color="auto" w:sz="0" w:space="0"/>
        </w:rPr>
        <w:t>万元补贴，对于高价值专利和企业投保目标国是共建“一带一路”国家和地区的，保费补贴比例最高上浮</w:t>
      </w:r>
      <w:r>
        <w:rPr>
          <w:rFonts w:hint="default" w:ascii="楷体_GB2312" w:eastAsia="楷体_GB2312" w:cs="楷体_GB2312"/>
          <w:color w:val="515151"/>
          <w:sz w:val="21"/>
          <w:szCs w:val="21"/>
          <w:bdr w:val="none" w:color="auto" w:sz="0" w:space="0"/>
        </w:rPr>
        <w:t>10%</w:t>
      </w:r>
      <w:r>
        <w:rPr>
          <w:rFonts w:hint="default" w:ascii="仿宋_GB2312" w:eastAsia="仿宋_GB2312" w:cs="仿宋_GB2312"/>
          <w:color w:val="515151"/>
          <w:sz w:val="21"/>
          <w:szCs w:val="21"/>
          <w:bdr w:val="none" w:color="auto" w:sz="0" w:space="0"/>
        </w:rPr>
        <w:t>、最高补贴</w:t>
      </w:r>
      <w:r>
        <w:rPr>
          <w:rFonts w:hint="default" w:ascii="楷体_GB2312" w:eastAsia="楷体_GB2312" w:cs="楷体_GB2312"/>
          <w:color w:val="515151"/>
          <w:sz w:val="21"/>
          <w:szCs w:val="21"/>
          <w:bdr w:val="none" w:color="auto" w:sz="0" w:space="0"/>
        </w:rPr>
        <w:t>50</w:t>
      </w:r>
      <w:r>
        <w:rPr>
          <w:rFonts w:hint="default" w:ascii="仿宋_GB2312" w:eastAsia="仿宋_GB2312" w:cs="仿宋_GB2312"/>
          <w:color w:val="515151"/>
          <w:sz w:val="21"/>
          <w:szCs w:val="21"/>
          <w:bdr w:val="none" w:color="auto" w:sz="0" w:space="0"/>
        </w:rPr>
        <w:t>万元。对投保“知识产权海外侵权责任险”的企业给予适当倾斜。（牵头单位：省市场监管局、省财政厅）</w:t>
      </w:r>
    </w:p>
    <w:p w14:paraId="6D51F4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eastAsia" w:ascii="黑体" w:hAnsi="宋体" w:eastAsia="黑体" w:cs="黑体"/>
          <w:color w:val="515151"/>
          <w:sz w:val="21"/>
          <w:szCs w:val="21"/>
          <w:bdr w:val="none" w:color="auto" w:sz="0" w:space="0"/>
        </w:rPr>
        <w:t>三、深挖需求稳市场</w:t>
      </w:r>
    </w:p>
    <w:p w14:paraId="607938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12.</w:t>
      </w:r>
      <w:r>
        <w:rPr>
          <w:rFonts w:hint="default" w:ascii="仿宋_GB2312" w:eastAsia="仿宋_GB2312" w:cs="仿宋_GB2312"/>
          <w:color w:val="515151"/>
          <w:sz w:val="21"/>
          <w:szCs w:val="21"/>
          <w:bdr w:val="none" w:color="auto" w:sz="0" w:space="0"/>
        </w:rPr>
        <w:t>开展“好品山东 商行天下”系列活动，举办“百县千企万店”重点促消费活动</w:t>
      </w:r>
      <w:r>
        <w:rPr>
          <w:rFonts w:hint="default" w:ascii="楷体_GB2312" w:eastAsia="楷体_GB2312" w:cs="楷体_GB2312"/>
          <w:color w:val="515151"/>
          <w:sz w:val="21"/>
          <w:szCs w:val="21"/>
          <w:bdr w:val="none" w:color="auto" w:sz="0" w:space="0"/>
        </w:rPr>
        <w:t>1000</w:t>
      </w:r>
      <w:r>
        <w:rPr>
          <w:rFonts w:hint="default" w:ascii="仿宋_GB2312" w:eastAsia="仿宋_GB2312" w:cs="仿宋_GB2312"/>
          <w:color w:val="515151"/>
          <w:sz w:val="21"/>
          <w:szCs w:val="21"/>
          <w:bdr w:val="none" w:color="auto" w:sz="0" w:space="0"/>
        </w:rPr>
        <w:t>场以上；实施服务消费提质惠民行动，举办“齐鲁服务消费季”活动</w:t>
      </w:r>
      <w:r>
        <w:rPr>
          <w:rFonts w:hint="default" w:ascii="楷体_GB2312" w:eastAsia="楷体_GB2312" w:cs="楷体_GB2312"/>
          <w:color w:val="515151"/>
          <w:sz w:val="21"/>
          <w:szCs w:val="21"/>
          <w:bdr w:val="none" w:color="auto" w:sz="0" w:space="0"/>
        </w:rPr>
        <w:t>500</w:t>
      </w:r>
      <w:r>
        <w:rPr>
          <w:rFonts w:hint="default" w:ascii="仿宋_GB2312" w:eastAsia="仿宋_GB2312" w:cs="仿宋_GB2312"/>
          <w:color w:val="515151"/>
          <w:sz w:val="21"/>
          <w:szCs w:val="21"/>
          <w:bdr w:val="none" w:color="auto" w:sz="0" w:space="0"/>
        </w:rPr>
        <w:t>场以上。省级统筹</w:t>
      </w:r>
      <w:r>
        <w:rPr>
          <w:rFonts w:hint="default" w:ascii="楷体_GB2312" w:eastAsia="楷体_GB2312" w:cs="楷体_GB2312"/>
          <w:color w:val="515151"/>
          <w:sz w:val="21"/>
          <w:szCs w:val="21"/>
          <w:bdr w:val="none" w:color="auto" w:sz="0" w:space="0"/>
        </w:rPr>
        <w:t>5000</w:t>
      </w:r>
      <w:r>
        <w:rPr>
          <w:rFonts w:hint="default" w:ascii="仿宋_GB2312" w:eastAsia="仿宋_GB2312" w:cs="仿宋_GB2312"/>
          <w:color w:val="515151"/>
          <w:sz w:val="21"/>
          <w:szCs w:val="21"/>
          <w:bdr w:val="none" w:color="auto" w:sz="0" w:space="0"/>
        </w:rPr>
        <w:t>万元资金，支持各市发放零售、餐饮消费券。（牵头单位：省商务厅、省财政厅）</w:t>
      </w:r>
    </w:p>
    <w:p w14:paraId="786F78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13.</w:t>
      </w:r>
      <w:r>
        <w:rPr>
          <w:rFonts w:hint="default" w:ascii="仿宋_GB2312" w:eastAsia="仿宋_GB2312" w:cs="仿宋_GB2312"/>
          <w:color w:val="515151"/>
          <w:sz w:val="21"/>
          <w:szCs w:val="21"/>
          <w:bdr w:val="none" w:color="auto" w:sz="0" w:space="0"/>
        </w:rPr>
        <w:t>大力发展银发经济，促进养老服务与物业、家政、医疗、文化、旅游、体育、教育等行业融合发展。实施养老服务高质量发展提升行动，采取竞争立项方式，在全省东部、中部、西部地区分别遴选确定</w:t>
      </w:r>
      <w:r>
        <w:rPr>
          <w:rFonts w:hint="default" w:ascii="楷体_GB2312" w:eastAsia="楷体_GB2312" w:cs="楷体_GB2312"/>
          <w:color w:val="515151"/>
          <w:sz w:val="21"/>
          <w:szCs w:val="21"/>
          <w:bdr w:val="none" w:color="auto" w:sz="0" w:space="0"/>
        </w:rPr>
        <w:t>2</w:t>
      </w:r>
      <w:r>
        <w:rPr>
          <w:rFonts w:hint="default" w:ascii="仿宋_GB2312" w:eastAsia="仿宋_GB2312" w:cs="仿宋_GB2312"/>
          <w:color w:val="515151"/>
          <w:sz w:val="21"/>
          <w:szCs w:val="21"/>
          <w:bdr w:val="none" w:color="auto" w:sz="0" w:space="0"/>
        </w:rPr>
        <w:t>个县（市、区），统筹省级养老服务发展资金，给予每个县（市、区）</w:t>
      </w:r>
      <w:r>
        <w:rPr>
          <w:rFonts w:hint="default" w:ascii="楷体_GB2312" w:eastAsia="楷体_GB2312" w:cs="楷体_GB2312"/>
          <w:color w:val="515151"/>
          <w:sz w:val="21"/>
          <w:szCs w:val="21"/>
          <w:bdr w:val="none" w:color="auto" w:sz="0" w:space="0"/>
        </w:rPr>
        <w:t>1000</w:t>
      </w:r>
      <w:r>
        <w:rPr>
          <w:rFonts w:hint="default" w:ascii="仿宋_GB2312" w:eastAsia="仿宋_GB2312" w:cs="仿宋_GB2312"/>
          <w:color w:val="515151"/>
          <w:sz w:val="21"/>
          <w:szCs w:val="21"/>
          <w:bdr w:val="none" w:color="auto" w:sz="0" w:space="0"/>
        </w:rPr>
        <w:t>万元补助，支持在养老服务领域加强探索创新。（牵头单位：省发展改革委、省民政厅、省财政厅）</w:t>
      </w:r>
    </w:p>
    <w:p w14:paraId="4557A3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14.</w:t>
      </w:r>
      <w:r>
        <w:rPr>
          <w:rFonts w:hint="default" w:ascii="仿宋_GB2312" w:eastAsia="仿宋_GB2312" w:cs="仿宋_GB2312"/>
          <w:color w:val="515151"/>
          <w:sz w:val="21"/>
          <w:szCs w:val="21"/>
          <w:bdr w:val="none" w:color="auto" w:sz="0" w:space="0"/>
        </w:rPr>
        <w:t>积极争取国家汽车流通消费改革试点，围绕新车、二手车、报废车、汽车后市场等环节先行先试。推动发展汽车运动和汽车文化，策划推出一批经典自驾游路线和产品，统筹服务业发展引导资金等，支持旅游景区、度假区建设房车露营地项目，延伸汽车消费链条。（牵头单位：省商务厅、省发展改革委、省文化和旅游厅）</w:t>
      </w:r>
    </w:p>
    <w:p w14:paraId="2D0EA2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15.</w:t>
      </w:r>
      <w:r>
        <w:rPr>
          <w:rFonts w:hint="default" w:ascii="仿宋_GB2312" w:eastAsia="仿宋_GB2312" w:cs="仿宋_GB2312"/>
          <w:color w:val="515151"/>
          <w:sz w:val="21"/>
          <w:szCs w:val="21"/>
          <w:bdr w:val="none" w:color="auto" w:sz="0" w:space="0"/>
        </w:rPr>
        <w:t>加大住房公积金对住房消费的支持力度，建立最高贷款额度动态调整机制，进一步提高多子女家庭最高贷款额度上浮比例。适当提高租房提取额度，建设全省统一的租房和提取一站式服务平台，推广公积金直付房租新模式。探索住房贷款“商转公”“商转组”业务“一次办”模式。（牵头单位：省住房城乡建设厅、省财政厅、中国人民银行山东省分行）</w:t>
      </w:r>
    </w:p>
    <w:p w14:paraId="2EAFBA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16.</w:t>
      </w:r>
      <w:r>
        <w:rPr>
          <w:rFonts w:hint="default" w:ascii="仿宋_GB2312" w:eastAsia="仿宋_GB2312" w:cs="仿宋_GB2312"/>
          <w:color w:val="515151"/>
          <w:sz w:val="21"/>
          <w:szCs w:val="21"/>
          <w:bdr w:val="none" w:color="auto" w:sz="0" w:space="0"/>
        </w:rPr>
        <w:t>开展山东外贸优品中华行系列活动，线上搭建“山东外贸优品馆”，线下举办外贸优品购物季、重点展会秀、优品“六进”等活动，帮助外贸企业迅速拓展内销市场。（牵头单位：省商务厅）</w:t>
      </w:r>
    </w:p>
    <w:p w14:paraId="6BA4FF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17.</w:t>
      </w:r>
      <w:r>
        <w:rPr>
          <w:rFonts w:hint="default" w:ascii="仿宋_GB2312" w:eastAsia="仿宋_GB2312" w:cs="仿宋_GB2312"/>
          <w:color w:val="515151"/>
          <w:sz w:val="21"/>
          <w:szCs w:val="21"/>
          <w:bdr w:val="none" w:color="auto" w:sz="0" w:space="0"/>
        </w:rPr>
        <w:t>加力支持外贸企业拓市场稳订单，全年组织</w:t>
      </w:r>
      <w:r>
        <w:rPr>
          <w:rFonts w:hint="default" w:ascii="楷体_GB2312" w:eastAsia="楷体_GB2312" w:cs="楷体_GB2312"/>
          <w:color w:val="515151"/>
          <w:sz w:val="21"/>
          <w:szCs w:val="21"/>
          <w:bdr w:val="none" w:color="auto" w:sz="0" w:space="0"/>
        </w:rPr>
        <w:t>370</w:t>
      </w:r>
      <w:r>
        <w:rPr>
          <w:rFonts w:hint="default" w:ascii="仿宋_GB2312" w:eastAsia="仿宋_GB2312" w:cs="仿宋_GB2312"/>
          <w:color w:val="515151"/>
          <w:sz w:val="21"/>
          <w:szCs w:val="21"/>
          <w:bdr w:val="none" w:color="auto" w:sz="0" w:space="0"/>
        </w:rPr>
        <w:t>场以上境外重点展会和配套对接活动，组织</w:t>
      </w:r>
      <w:r>
        <w:rPr>
          <w:rFonts w:hint="default" w:ascii="楷体_GB2312" w:eastAsia="楷体_GB2312" w:cs="楷体_GB2312"/>
          <w:color w:val="515151"/>
          <w:sz w:val="21"/>
          <w:szCs w:val="21"/>
          <w:bdr w:val="none" w:color="auto" w:sz="0" w:space="0"/>
        </w:rPr>
        <w:t>6000</w:t>
      </w:r>
      <w:r>
        <w:rPr>
          <w:rFonts w:hint="default" w:ascii="仿宋_GB2312" w:eastAsia="仿宋_GB2312" w:cs="仿宋_GB2312"/>
          <w:color w:val="515151"/>
          <w:sz w:val="21"/>
          <w:szCs w:val="21"/>
          <w:bdr w:val="none" w:color="auto" w:sz="0" w:space="0"/>
        </w:rPr>
        <w:t>家次以上企业参加境内国际性展会；对省、市重点组织展会的展位费给予补助，实施展前补贴或按季度发放补贴。（牵头单位：省商务厅、省财政厅）</w:t>
      </w:r>
    </w:p>
    <w:p w14:paraId="2D2E93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eastAsia" w:ascii="黑体" w:hAnsi="宋体" w:eastAsia="黑体" w:cs="黑体"/>
          <w:color w:val="515151"/>
          <w:sz w:val="21"/>
          <w:szCs w:val="21"/>
          <w:bdr w:val="none" w:color="auto" w:sz="0" w:space="0"/>
        </w:rPr>
        <w:t>四、优化环境稳预期</w:t>
      </w:r>
    </w:p>
    <w:p w14:paraId="2AEA9E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18.</w:t>
      </w:r>
      <w:r>
        <w:rPr>
          <w:rFonts w:hint="default" w:ascii="仿宋_GB2312" w:eastAsia="仿宋_GB2312" w:cs="仿宋_GB2312"/>
          <w:color w:val="515151"/>
          <w:sz w:val="21"/>
          <w:szCs w:val="21"/>
          <w:bdr w:val="none" w:color="auto" w:sz="0" w:space="0"/>
        </w:rPr>
        <w:t>深入推进“高效办成一件事”，年底前迭代更新</w:t>
      </w:r>
      <w:r>
        <w:rPr>
          <w:rFonts w:hint="default" w:ascii="楷体_GB2312" w:eastAsia="楷体_GB2312" w:cs="楷体_GB2312"/>
          <w:color w:val="515151"/>
          <w:sz w:val="21"/>
          <w:szCs w:val="21"/>
          <w:bdr w:val="none" w:color="auto" w:sz="0" w:space="0"/>
        </w:rPr>
        <w:t>100</w:t>
      </w:r>
      <w:r>
        <w:rPr>
          <w:rFonts w:hint="default" w:ascii="仿宋_GB2312" w:eastAsia="仿宋_GB2312" w:cs="仿宋_GB2312"/>
          <w:color w:val="515151"/>
          <w:sz w:val="21"/>
          <w:szCs w:val="21"/>
          <w:bdr w:val="none" w:color="auto" w:sz="0" w:space="0"/>
        </w:rPr>
        <w:t>个“一件事”服务场景，实现高频政务服务事项基于业务中台统一标准服务。持续深化投资项目审批制度改革，推进前置要件“容缺办”、高频事项“并联办”、证明材料“承诺办”。加大市场准入壁垒清理整治力度，优化新业态新领域市场准入环境。（责任单位：省政府办公厅、省发展改革委、省大数据局）</w:t>
      </w:r>
    </w:p>
    <w:p w14:paraId="5803C3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19.</w:t>
      </w:r>
      <w:r>
        <w:rPr>
          <w:rFonts w:hint="default" w:ascii="仿宋_GB2312" w:eastAsia="仿宋_GB2312" w:cs="仿宋_GB2312"/>
          <w:color w:val="515151"/>
          <w:sz w:val="21"/>
          <w:szCs w:val="21"/>
          <w:bdr w:val="none" w:color="auto" w:sz="0" w:space="0"/>
        </w:rPr>
        <w:t>制定政策“直达快享”管理办法，</w:t>
      </w:r>
      <w:r>
        <w:rPr>
          <w:rFonts w:hint="default" w:ascii="楷体_GB2312" w:eastAsia="楷体_GB2312" w:cs="楷体_GB2312"/>
          <w:color w:val="515151"/>
          <w:sz w:val="21"/>
          <w:szCs w:val="21"/>
          <w:bdr w:val="none" w:color="auto" w:sz="0" w:space="0"/>
        </w:rPr>
        <w:t>6</w:t>
      </w:r>
      <w:r>
        <w:rPr>
          <w:rFonts w:hint="default" w:ascii="仿宋_GB2312" w:eastAsia="仿宋_GB2312" w:cs="仿宋_GB2312"/>
          <w:color w:val="515151"/>
          <w:sz w:val="21"/>
          <w:szCs w:val="21"/>
          <w:bdr w:val="none" w:color="auto" w:sz="0" w:space="0"/>
        </w:rPr>
        <w:t>月底前完成“鲁惠通”平台总体建设任务，上线运行智能服务大模型，为企业提供个性化服务，实现“政策找人”；持续开展惠企、人才政策梳理，分批分类纳入“鲁惠通”平台，实现一个平台发布、一口申报办理。（牵头单位：省发展改革委，责任单位：省有关部门、单位）</w:t>
      </w:r>
    </w:p>
    <w:p w14:paraId="2EA8C4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20.</w:t>
      </w:r>
      <w:r>
        <w:rPr>
          <w:rFonts w:hint="default" w:ascii="仿宋_GB2312" w:eastAsia="仿宋_GB2312" w:cs="仿宋_GB2312"/>
          <w:color w:val="515151"/>
          <w:sz w:val="21"/>
          <w:szCs w:val="21"/>
          <w:bdr w:val="none" w:color="auto" w:sz="0" w:space="0"/>
        </w:rPr>
        <w:t>实施宏观政策取向一致性评估，加强财政、金融、就业、收入、价格、产业、投资、消费、外贸、城乡、区域、科技、环保、土地等领域政策协调配合，确保同向发力、形成合力。（牵头单位：省发展改革委）</w:t>
      </w:r>
    </w:p>
    <w:p w14:paraId="3EEFD0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21.</w:t>
      </w:r>
      <w:r>
        <w:rPr>
          <w:rFonts w:hint="default" w:ascii="仿宋_GB2312" w:eastAsia="仿宋_GB2312" w:cs="仿宋_GB2312"/>
          <w:color w:val="515151"/>
          <w:sz w:val="21"/>
          <w:szCs w:val="21"/>
          <w:bdr w:val="none" w:color="auto" w:sz="0" w:space="0"/>
        </w:rPr>
        <w:t>开展规范涉企行政执法专项行动，建设“鲁执法”监管服务平台，实现涉企行政检查、行政处罚、行政强制等行政执法办案与监督全流程数字化运行，提升涉企行政执法质量。严格办理涉企行政复议案件，重点纠治小过重罚、逐利执法等突出问题。（牵头单位：省司法厅）</w:t>
      </w:r>
    </w:p>
    <w:p w14:paraId="237402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22.</w:t>
      </w:r>
      <w:r>
        <w:rPr>
          <w:rFonts w:hint="default" w:ascii="仿宋_GB2312" w:eastAsia="仿宋_GB2312" w:cs="仿宋_GB2312"/>
          <w:color w:val="515151"/>
          <w:sz w:val="21"/>
          <w:szCs w:val="21"/>
          <w:bdr w:val="none" w:color="auto" w:sz="0" w:space="0"/>
        </w:rPr>
        <w:t>精准对接国家创业投资引导基金，组织开展创投基金齐鲁行活动，推动更多创投项目落地。抢抓机遇发行长期限科技创新债券，争取首批科技创新债券落户山东，推动省内发债主体通过债券市场“科技板”获得融资支持。（责任单位：省发展改革委、省科技厅、中国人民银行山东省分行）</w:t>
      </w:r>
    </w:p>
    <w:p w14:paraId="76971F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23.</w:t>
      </w:r>
      <w:r>
        <w:rPr>
          <w:rFonts w:hint="default" w:ascii="仿宋_GB2312" w:eastAsia="仿宋_GB2312" w:cs="仿宋_GB2312"/>
          <w:color w:val="515151"/>
          <w:sz w:val="21"/>
          <w:szCs w:val="21"/>
          <w:bdr w:val="none" w:color="auto" w:sz="0" w:space="0"/>
        </w:rPr>
        <w:t>加快开展源网荷储一体化试点，统筹用好国家和省相关配套政策，稳妥有序推动绿电直连，加力推进试点项目建设，谋划实施一批绿电产业园、零碳园区，进一步提高绿电使用占比。（牵头单位：省发展改革委、省能源局）</w:t>
      </w:r>
    </w:p>
    <w:p w14:paraId="202E68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24.</w:t>
      </w:r>
      <w:r>
        <w:rPr>
          <w:rFonts w:hint="default" w:ascii="仿宋_GB2312" w:eastAsia="仿宋_GB2312" w:cs="仿宋_GB2312"/>
          <w:color w:val="515151"/>
          <w:sz w:val="21"/>
          <w:szCs w:val="21"/>
          <w:bdr w:val="none" w:color="auto" w:sz="0" w:space="0"/>
        </w:rPr>
        <w:t>强化能源保障，用好“陇电入鲁”新通道、进一步扩大省外来电规模；加快推动魏桥机组并网，力争度夏前完成接入。统筹专项债券对符合条件的重点天然气管线建设工程予以支持；对完成国家储气任务的市，省财政按其承担租赁费用的</w:t>
      </w:r>
      <w:r>
        <w:rPr>
          <w:rFonts w:hint="default" w:ascii="楷体_GB2312" w:eastAsia="楷体_GB2312" w:cs="楷体_GB2312"/>
          <w:color w:val="515151"/>
          <w:sz w:val="21"/>
          <w:szCs w:val="21"/>
          <w:bdr w:val="none" w:color="auto" w:sz="0" w:space="0"/>
        </w:rPr>
        <w:t>30%</w:t>
      </w:r>
      <w:r>
        <w:rPr>
          <w:rFonts w:hint="default" w:ascii="仿宋_GB2312" w:eastAsia="仿宋_GB2312" w:cs="仿宋_GB2312"/>
          <w:color w:val="515151"/>
          <w:sz w:val="21"/>
          <w:szCs w:val="21"/>
          <w:bdr w:val="none" w:color="auto" w:sz="0" w:space="0"/>
        </w:rPr>
        <w:t>给予补助。（牵头单位：省发展改革委、省财政厅、省能源局、国网山东省电力公司）</w:t>
      </w:r>
    </w:p>
    <w:p w14:paraId="673B52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25.</w:t>
      </w:r>
      <w:r>
        <w:rPr>
          <w:rFonts w:hint="default" w:ascii="仿宋_GB2312" w:eastAsia="仿宋_GB2312" w:cs="仿宋_GB2312"/>
          <w:color w:val="515151"/>
          <w:sz w:val="21"/>
          <w:szCs w:val="21"/>
          <w:bdr w:val="none" w:color="auto" w:sz="0" w:space="0"/>
        </w:rPr>
        <w:t>强化重点项目用地保障，对省级以上重大基础设施项目以及市域内无法保障的重大建设项目，所需耕地占补平衡指标，均由省级统筹保障。（牵头单位：省自然资源厅）</w:t>
      </w:r>
    </w:p>
    <w:p w14:paraId="24BA1A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楷体_GB2312" w:eastAsia="楷体_GB2312" w:cs="楷体_GB2312"/>
          <w:color w:val="515151"/>
          <w:sz w:val="21"/>
          <w:szCs w:val="21"/>
          <w:bdr w:val="none" w:color="auto" w:sz="0" w:space="0"/>
        </w:rPr>
        <w:t>26.</w:t>
      </w:r>
      <w:r>
        <w:rPr>
          <w:rFonts w:hint="default" w:ascii="仿宋_GB2312" w:eastAsia="仿宋_GB2312" w:cs="仿宋_GB2312"/>
          <w:color w:val="515151"/>
          <w:sz w:val="21"/>
          <w:szCs w:val="21"/>
          <w:bdr w:val="none" w:color="auto" w:sz="0" w:space="0"/>
        </w:rPr>
        <w:t>全面推行用地用林用草用海联动审批，通过流程优化、部门联动，实行同一阶段的审批审核事项同步办理。（牵头单位：省自然资源厅）</w:t>
      </w:r>
    </w:p>
    <w:p w14:paraId="30938E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420"/>
        <w:rPr>
          <w:color w:val="515151"/>
          <w:sz w:val="15"/>
          <w:szCs w:val="15"/>
        </w:rPr>
      </w:pPr>
      <w:r>
        <w:rPr>
          <w:rFonts w:hint="default" w:ascii="仿宋_GB2312" w:eastAsia="仿宋_GB2312" w:cs="仿宋_GB2312"/>
          <w:color w:val="515151"/>
          <w:sz w:val="21"/>
          <w:szCs w:val="21"/>
          <w:bdr w:val="none" w:color="auto" w:sz="0" w:space="0"/>
        </w:rPr>
        <w:t>以上政策措施作为</w:t>
      </w:r>
      <w:r>
        <w:rPr>
          <w:rFonts w:hint="default" w:ascii="楷体_GB2312" w:eastAsia="楷体_GB2312" w:cs="楷体_GB2312"/>
          <w:color w:val="515151"/>
          <w:sz w:val="21"/>
          <w:szCs w:val="21"/>
          <w:bdr w:val="none" w:color="auto" w:sz="0" w:space="0"/>
        </w:rPr>
        <w:t>2025</w:t>
      </w:r>
      <w:r>
        <w:rPr>
          <w:rFonts w:hint="default" w:ascii="仿宋_GB2312" w:eastAsia="仿宋_GB2312" w:cs="仿宋_GB2312"/>
          <w:color w:val="515151"/>
          <w:sz w:val="21"/>
          <w:szCs w:val="21"/>
          <w:bdr w:val="none" w:color="auto" w:sz="0" w:space="0"/>
        </w:rPr>
        <w:t>年第二批政策清单，未明确实施起止时限的，从印发之日起实施，有效期至</w:t>
      </w:r>
      <w:r>
        <w:rPr>
          <w:rFonts w:hint="default" w:ascii="楷体_GB2312" w:eastAsia="楷体_GB2312" w:cs="楷体_GB2312"/>
          <w:color w:val="515151"/>
          <w:sz w:val="21"/>
          <w:szCs w:val="21"/>
          <w:bdr w:val="none" w:color="auto" w:sz="0" w:space="0"/>
        </w:rPr>
        <w:t>2025</w:t>
      </w:r>
      <w:r>
        <w:rPr>
          <w:rFonts w:hint="default" w:ascii="仿宋_GB2312" w:eastAsia="仿宋_GB2312" w:cs="仿宋_GB2312"/>
          <w:color w:val="515151"/>
          <w:sz w:val="21"/>
          <w:szCs w:val="21"/>
          <w:bdr w:val="none" w:color="auto" w:sz="0" w:space="0"/>
        </w:rPr>
        <w:t>年</w:t>
      </w:r>
      <w:r>
        <w:rPr>
          <w:rFonts w:hint="default" w:ascii="楷体_GB2312" w:eastAsia="楷体_GB2312" w:cs="楷体_GB2312"/>
          <w:color w:val="515151"/>
          <w:sz w:val="21"/>
          <w:szCs w:val="21"/>
          <w:bdr w:val="none" w:color="auto" w:sz="0" w:space="0"/>
        </w:rPr>
        <w:t>12</w:t>
      </w:r>
      <w:r>
        <w:rPr>
          <w:rFonts w:hint="default" w:ascii="仿宋_GB2312" w:eastAsia="仿宋_GB2312" w:cs="仿宋_GB2312"/>
          <w:color w:val="515151"/>
          <w:sz w:val="21"/>
          <w:szCs w:val="21"/>
          <w:bdr w:val="none" w:color="auto" w:sz="0" w:space="0"/>
        </w:rPr>
        <w:t>月</w:t>
      </w:r>
      <w:r>
        <w:rPr>
          <w:rFonts w:hint="default" w:ascii="楷体_GB2312" w:eastAsia="楷体_GB2312" w:cs="楷体_GB2312"/>
          <w:color w:val="515151"/>
          <w:sz w:val="21"/>
          <w:szCs w:val="21"/>
          <w:bdr w:val="none" w:color="auto" w:sz="0" w:space="0"/>
        </w:rPr>
        <w:t>31</w:t>
      </w:r>
      <w:r>
        <w:rPr>
          <w:rFonts w:hint="default" w:ascii="仿宋_GB2312" w:eastAsia="仿宋_GB2312" w:cs="仿宋_GB2312"/>
          <w:color w:val="515151"/>
          <w:sz w:val="21"/>
          <w:szCs w:val="21"/>
          <w:bdr w:val="none" w:color="auto" w:sz="0" w:space="0"/>
        </w:rPr>
        <w:t>日。各牵头单位同步制定落实配套措施，加大政策解读力度，推动直达基层、直接惠及经营主体，进一步提振市场信心；定期组织开展政策评估，强化一线调研服务，及时解决政策落地中的堵点卡点问题，确保全面落地达效，为全省经济向上向好提供有力支撑。</w:t>
      </w:r>
    </w:p>
    <w:p w14:paraId="04FD1A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80"/>
        <w:rPr>
          <w:color w:val="515151"/>
          <w:sz w:val="15"/>
          <w:szCs w:val="15"/>
        </w:rPr>
      </w:pPr>
    </w:p>
    <w:p w14:paraId="20E360D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B4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2025-07-01T10:18:22Z</dcterms:created>
  <dc:creator>33088</dc:creator>
  <cp:lastModifiedBy>月下追梦</cp:lastModifiedBy>
  <dcterms:modified xsi:type="dcterms:W3CDTF">2025-07-01T10:18:27Z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46E1F817FAC84520BEC550AEEBEA42C3_12</vt:lpwstr>
  </property>
</Properties>
</file>